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C-525/2006 vom 24. April 2008</w:t>
      </w:r>
    </w:p>
    <w:p>
      <w:r>
        <w:t>Bundesverwaltungsgericht, 2008-04-24, DE</w:t>
      </w:r>
    </w:p>
    <w:p>
      <w:r>
        <w:rPr>
          <w:b/>
        </w:rPr>
        <w:t xml:space="preserve">Quelle: </w:t>
      </w:r>
      <w:r>
        <w:t>https://mcp.opencaselaw.ch/entscheid/bvger_C-525_2006</w:t>
      </w:r>
    </w:p>
    <w:p>
      <w:r>
        <w:t>FR: TAF C-525/2006 du 24 avril 2008</w:t>
      </w:r>
    </w:p>
    <w:p>
      <w:r>
        <w:t>IT: TAF C-525/2006 del 24 aprile 2008</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Zum Zeitpunkt des Inkrafttretens des Verwaltungsgerichtsgesetzes beim EJPD bereits hängige Rechtsmittelverfahren vorliegenden Inhalts werden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als Adressatin der angefochtenen Verfügung zur Beschwerde legitimiert, und ihr Rechtsmittel wurde frist- und formgerecht eingereicht (48 ff. VwVG). Auf die Beschwerde ist deshalb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Die materielle Beurteilung der vorliegenden Streitsache richtet sich gemäss Art. 126 Abs. 1 AuG noch nach dem alten Recht (vgl. Urteil des Bundesverwaltungsgerichts C-3912/2007 vom 14. Februar 2008 E. 2 mit Hinweisen). Einschlägig sind das Bundesgesetz vom 26. März 1931 über Aufenthalt und Niederlassung der Ausländer (aANAG, BS 1 121, zum vollständigen Quellennachweis vgl. Ziff. I des Anhangs zum AuG), die Verordnung vom 20. April 1983 über das Zustimmungsverfahren im Ausländerrecht (nachfolgend: alt Zustimmungsverordnung, AS 1983 535, zum vollständigen Quellennachweis vgl. Art. 91 Ziff. 2 VZAE) und die Verordnung vom 6. Oktober 1986 über die Begrenzung der Zahl der Ausländer (alt Begrenzungsverordnung, aBVO, AS 1986 1791, zum vollständigen Quellennachweis vgl. Art. 91 Ziff. 5 VZAE).</w:t>
      </w:r>
    </w:p>
    <w:p>
      <w:r>
        <w:rPr>
          <w:b/>
        </w:rPr>
        <w:t>E. 3</w:t>
      </w:r>
    </w:p>
    <w:p>
      <w:r>
        <w:t>Die Erteilung und Verlängerung von Aufenthaltsbewilligungen fällt grundsätzlich in die Zuständigkeit der Kantone. Vorbehalten bleibt die Zustimmung des BFM, wenn das Ausländerrecht eine solche für notwendig erklärt (Art. 18 aANAG). Gemäss Artikel 1 Absatz 1 alt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Vorliegend geht es um die Verlängerung der Aufenthaltsbewilligung einer thailändischen Staatsangehörigen nach ihrer Scheidung von einem Schweizer Bürger. Die Zustimmungsbedürftigkeit des kantonalen Verlängerungsentscheids ergibt sich deshalb aus Art. 1 Abs. 1 Bst. a alt Zustimmungsverordnung in Verbindung mit den Weisungen und Erläuterungen des BFM vom Mai 2006 über Einreise, Aufenthalt und Arbeitsmarkt (aANAG-Weisungen), welche in Ziff. 132.4 Bst. e vorsehen, dass die Verlängerung der Aufenthaltsbewilligung eines Ausländers oder einer Ausländerin nach Scheidung vom schweizerischen Ehegatten oder nach dessen Tod dem BFM zur Zustimmung zu unterbreiten ist, falls der Ausländer oder die Ausländerin nicht aus einem Mitgliedstaat der EFTA oder der EG stammt. Der Entscheid über die Zustimmung liegt im pflichtgemässen Ermessen der Behörde, denn die Ehe ist geschieden worden, bevor der Beschwerdeführerin gestützt auf Art. 7 Abs. 1 Satz 2 aANAG ein vom Bestand der Ehe unabhängiger Anspruch auf Verlängerung ihrer Aufenthaltsbewilligung erwachsen konnte (vgl. BGE 130 II 49 E. 3.2.3 S. 54 f., 128 II 145 E. 1.1.4 und 1.1.5 S. 149 f. mit Hinweisen), und eine andere Anspruchsgrundlage des Landes- und Völkerrechts besteht nicht.</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(nachfolgend zu erörternden)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6.1</w:t>
      </w:r>
    </w:p>
    <w:p>
      <w:r>
        <w:t>Die Schweiz verfolgt zur Verwirklichung der in Art. 1 aBVO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C-4302/2007 vom 20. Dezember 2007 E. 4.1 mit Hinweisen; ferner Ziff. 654 aANAG-Weisungen).</w:t>
      </w:r>
    </w:p>
    <w:p>
      <w:r>
        <w:rPr>
          <w:b/>
        </w:rPr>
        <w:t>E. 6.2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C-4302/2007 vom 20. Dezember 2007 E. 4.2 mit Hinweisen; ferner Ziff. 654 aANAG-Weisungen).</w:t>
      </w:r>
    </w:p>
    <w:p>
      <w:r>
        <w:rPr>
          <w:b/>
        </w:rPr>
        <w:t>E. 6.3</w:t>
      </w:r>
    </w:p>
    <w:p>
      <w:r>
        <w:t>Die notwendige Schwere der Betroffenheit in den persönlichen Verhältnissen ist mit Blick auf die Regelung des Art. 7 Abs. 1 Satz 2 aANAG zu beurteilen, der ausländischen Ehegatten eines Schweizerbürgers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im letzteren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C-1872/2007 vom 20. September 2007 E. 4.3; vgl. dazu auch Urteil des Bundesgerichts 2A.212/2004 vom 10. Dezember 2004 E. 4.4; ferner Entscheid des Eidgenössischen Justiz- und Polizeidepartements vom 15. April 2005, E. 15.2, in: VPB 69.76, im Zusammenhang mit der Auflösung der Ehe durch Tod des schweizerischen Ehegatten; vgl. dazu die abgestufte Regelung in Art. 50 AuG).</w:t>
      </w:r>
    </w:p>
    <w:p>
      <w:r>
        <w:rPr>
          <w:b/>
        </w:rPr>
        <w:t>E. 7.1</w:t>
      </w:r>
    </w:p>
    <w:p>
      <w:r>
        <w:t>Die kinderlos gebliebene Ehe der Beschwerdeführerin hatte bis zur Scheidung am 24. April 2006 vier Jahre und zehn Monate Bestand. Tatsächlich wurde die eheliche Lebensgemeinschaft im November 2003 aufgegeben, d.h. nach einer Ehedauer von zwei Jahren und fünf Monaten. Dazu ergibt sich aus den Akten, dass die Beschwerdeführerin Opfer häuslicher Gewalt ihres offenbar alkoholabhängigen Ehemannes wurde und im November 2003 Zuflucht im Frauenheim Wegwarte in Basel suchen musste, bevor sie im Dezember 2003 mit Unterstützung des Frauenheims eine eigene Wohnung bezog. Die Gewaltsituation, die zur Aufgabe der ehelichen Gemeinschaft führte, und die Dauer der ehelichen Gemeinschaft rechtfertigen es, an das Vorliegen eines Härtefalls keine besonders hohen Anforderungen zu stellen (vgl. im Gegensatz dazu Urteile des Bundesverwaltungsgerichts C-497/2006 vom 21. April 2008 E. 7.1, C-4302/2007 vom 20. Dezember 2007 E. 5.1 und C-563/2006 vom 28. November 2007 E. 6.2).</w:t>
      </w:r>
    </w:p>
    <w:p>
      <w:r>
        <w:rPr>
          <w:b/>
        </w:rPr>
        <w:t>E. 7.2</w:t>
      </w:r>
    </w:p>
    <w:p>
      <w:r>
        <w:t>Die Beschwerdeführerin lebt seit sieben Jahren in der Schweiz. Kurz nach ihrer Einreise im Jahr 2001 nahm sie eine Erwerbstätigkeit auf, zunächst in einem Pflegeheim, später in einer Wäscherei, in der sie heute noch als geschätzte Mitarbeiterin beschäftigt ist. Sie ist - ohne jemals wirtschaftliche Sozialhilfe beansprucht zu haben - nicht nur stets für den eigenen Lebensunterhalt aufgekommen. Nach eigener unwidersprochener Darstellung hat sie darüber hinaus während der Zeit der Trennung Unterhaltszahlungen an ihren arbeitslosen Ehemann geleistet und ihre betagte Mutter in Thailand unterstützt. Die sprachliche Integration der Beschwerdeführerin ist - soweit erkennbar - gut, und was die soziale Integration anbetrifft, so ist nichts Nachteiliges bekannt. Aus den Akten geht hervor, dass die Beschwerdeführerin einen Lebenspartner hat, mit dem sie zusammenwohnt (Stand September 2006), und dass eine erwachsene Tochter seit 2004 mit Aufenthaltsbewilligung in der Schweiz lebt. Alles in allem kann mangels anderer Anhaltpunkte davon ausgegangen werden, dass sich die soziale Integration der Beschwerdeführerin im Rahmen dessen bewegt, was nach einem siebenjährigen Aufenthalt normalerweise erwartet werden kann.</w:t>
      </w:r>
    </w:p>
    <w:p>
      <w:r>
        <w:rPr>
          <w:b/>
        </w:rPr>
        <w:t>E. 7.3</w:t>
      </w:r>
    </w:p>
    <w:p>
      <w:r>
        <w:t>Zwar sind keine besonderen Gründe ersichtlich, die eine Wiedereingliederung der Beschwerdeführerin in ihrem Heimatland ernsthaft beeinträchtigen könnten. Dort hat sie 36 Jahre ihres Lebens verbracht, sodass nach wie vor von einer Verwurzelung im heimatlichen Umfeld ausgegangen werden kann, dort ging sie einer Erwerbstätigkeit als Kindergärtnerin nach und dort lebt nach wie vor ein grosser Teil ihrer Verwandtschaft. Andererseits wäre eine Wiedereingliederung der Beschwerdeführerin, vor allem in wirtschaftlicher Hinsicht, sicherlich mit manchen Schwierigkeiten verbunden. Aus subjektiver Sicht müssen sie für die Beschwerdeführerin umso schwerer wiegen, als sie sich als direkte Folge schuldlos gescheiterter Lebenspläne darstellen. Solche Umstände sind zwar für sich allein nicht entscheidend; im Rahmen einer Gesamtschau sind sie in einer Konstellation wie der vorliegenden dennoch zu berücksichtigen.</w:t>
      </w:r>
    </w:p>
    <w:p>
      <w:r>
        <w:rPr>
          <w:b/>
        </w:rPr>
        <w:t>E. 7.4</w:t>
      </w:r>
    </w:p>
    <w:p>
      <w:r>
        <w:t>Auf der Grundlage des milderen Beurteilungsmassstabes, den es vorliegend anzuwenden gilt (vgl. oben Ziff. 7.1), und unter Berücksichtigung der gesamten Umstände kommt das Bundesverwaltungsgericht zum Schluss, dass eine Nichterneuerung der Aufenthaltsbewilligung in rechtserheblicher Weise in die persönlichen Verhältnisse der Beschwerdeführerin eingreift. Das öffentliche Interesse an der Durchsetzung der restriktiven Migrationspolitik - Personen aus dem Nicht-EFTA/EU-Raum betreffend - muss unter den gegebenen Umständen gegenüber dem Interesse der Beschwerdeführerin an einer weiteren ausländerrechtlichen Regelung ihres Aufenthaltes zurückstehen. Indem die Vorinstanz dem öffentlichen Interesse grösseres Gesicht beigemessen und gestützt darauf die Zustimmung zur Verlängerung der Aufenthaltsbewilligung verweigert hat, erweist sich ihre Anordnung als unverhältnismässig.</w:t>
      </w:r>
    </w:p>
    <w:p>
      <w:r>
        <w:rPr>
          <w:b/>
        </w:rPr>
        <w:t>E. 8</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9</w:t>
      </w:r>
    </w:p>
    <w:p>
      <w:r>
        <w:t>Bei diesem Ausgang des Verfahrens sind der Beschwerdeführerin keine Verfahrenskosten aufzuerlegen (Art. 63 Abs. 1 VwVG), und es ist ihr gestützt auf Art. 64 VwVG i.V.m. Art. 7 ff. des Reglements vom 11. Dezember 2006 über die Kosten und Entschädigungen vor dem Bundesverwaltungsgericht (VGKE, SR 173.320.2) zu Lasten der Vorinstanz eine angemessene Parteientschädigung auszurichten.</w:t>
      </w:r>
    </w:p>
    <w:p>
      <w:r>
        <w:rPr>
          <w:b/>
        </w:rPr>
        <w:t>E. 10</w:t>
      </w:r>
    </w:p>
    <w:p>
      <w:r>
        <w:t>Das vorliegende Urteil ist endgültig (Art. 83 Bst. c Ziff. 2 und 4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