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C-5257/2007 vom 25. März 2008</w:t>
      </w:r>
    </w:p>
    <w:p>
      <w:r>
        <w:t>Bundesverwaltungsgericht, 2008-03-25, DE</w:t>
      </w:r>
    </w:p>
    <w:p>
      <w:r>
        <w:rPr>
          <w:b/>
        </w:rPr>
        <w:t xml:space="preserve">Quelle: </w:t>
      </w:r>
      <w:r>
        <w:t>https://mcp.opencaselaw.ch/entscheid/bvger_C-5257_2007</w:t>
      </w:r>
    </w:p>
    <w:p>
      <w:r>
        <w:t>FR: TAF C-5257/2007 du 25 mars 2008</w:t>
      </w:r>
    </w:p>
    <w:p>
      <w:r>
        <w:t>IT: TAF C-5257/2007 del 25 marzo 2008</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Das Bundesverwaltungsgericht entscheidet in diesem Bereich endgültig (Art. 83 Bst. c Ziff. 1 des Bundesgerichtsgesetzes vom 17. Juni 2005 [BGG, SR 173.110]).</w:t>
      </w:r>
    </w:p>
    <w:p>
      <w:r>
        <w:rPr>
          <w:b/>
        </w:rPr>
        <w:t>E. 1.2</w:t>
      </w:r>
    </w:p>
    <w:p>
      <w:r>
        <w:t>Das Verfahren vor dem Bundesverwaltungsgericht richtet sich gemäss Art. 37 VGG nach dem VwVG, sofern das Gesetz nichts anderes bestimmt.</w:t>
      </w:r>
    </w:p>
    <w:p>
      <w:r>
        <w:rPr>
          <w:b/>
        </w:rPr>
        <w:t>E. 1.3</w:t>
      </w:r>
    </w:p>
    <w:p>
      <w:r>
        <w:t>Die Beschwerdeführerin ist als Garantin und Gastgeberin aufgrund von Art. 48 Abs. 1 VwVG zur Beschwerde legitimiert. Auf die frist- und formgerecht eingereichte Beschwerde ist somit einzutreten (Art. 49 ff. VwVG).</w:t>
      </w:r>
    </w:p>
    <w:p>
      <w:r>
        <w:rPr>
          <w:b/>
        </w:rPr>
        <w:t>E. 1.4</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dem vorliegenden Verfahren zugrunde liegende Gesuch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w:t>
      </w:r>
    </w:p>
    <w:p>
      <w:r>
        <w:rPr>
          <w:b/>
        </w:rPr>
        <w:t>E. 2.1</w:t>
      </w:r>
    </w:p>
    <w:p>
      <w:r>
        <w:t>Ausländer und Ausländerinnen sind zur Anwesenheit in der Schweiz berechtigt, wenn sie eine Aufenthalts- oder Niederlassungsbewilligung haben oder keiner solchen bedürfen (Art. 1a aANAG). Gewisse Gruppen von Ausländerinnen und Ausländern benötigen für die Einreise in die Schweiz ein Visum (vgl. Art. 3 ff. der Verordnung über die Einreise und Anmeldung von Ausländerinnen und Ausländern vom 14. Januar 1998 [aVEA, AS 1998 194]).</w:t>
      </w:r>
    </w:p>
    <w:p>
      <w:r>
        <w:rPr>
          <w:b/>
        </w:rPr>
        <w:t>E. 2.2</w:t>
      </w:r>
    </w:p>
    <w:p>
      <w:r>
        <w:t>Das Bundesamt für Migration entscheidet im Rahmen der gesetzlichen Vorschriften und der Verträge mit dem Ausland nach freiem Ermessen über die Bewilligung von Aufenthalt und Niederlassung (Art. 4 und Art. 16 Abs. 1 aANAG, Art. 9 aVEA).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2.3</w:t>
      </w:r>
    </w:p>
    <w:p>
      <w:r>
        <w:t>Im Falle einer Einreisebewilligung ist daher der Spielraum für das behördliche Ermessen umfangreicher als beispielsweise bei der Verlängerung einer Anwesenheitserlaubnis.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 Dabei sind vor allem die geistigen und wirtschaftlichen Interessen sowie das Verhältnis zwischen schweizerischer und ausländischer Wohnbevölkerung zu berücksichtigen (Art. 16 Abs. 1 aANAG). Jedenfalls gebieten Ordnungs- und Steuerungsfunktionen der Visumsbestimmungen, über jeden Einzelfall unter Einhaltung einer möglichst vollständigen Interessenabwägung zu entscheiden.</w:t>
      </w:r>
    </w:p>
    <w:p>
      <w:r>
        <w:rPr>
          <w:b/>
        </w:rPr>
        <w:t>E. 2.4</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w:t>
      </w:r>
    </w:p>
    <w:p>
      <w:r>
        <w:rPr>
          <w:b/>
        </w:rPr>
        <w:t>E. 3</w:t>
      </w:r>
    </w:p>
    <w:p>
      <w:r>
        <w:t>Der Gesuchsteller benötigt aufgrund seiner Nationalität zur Einreise in die Schweiz neben dem Pass ein Visum. Die Vorinstanz verweigerte die Erteilung eines solchen Visums mit der Begründung, die fristgerechte Wiederausreise erscheine nicht als hinreichend gesichert.</w:t>
      </w:r>
    </w:p>
    <w:p>
      <w:r>
        <w:rPr>
          <w:b/>
        </w:rPr>
        <w:t>E. 3.1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3.2</w:t>
      </w:r>
    </w:p>
    <w:p>
      <w:r>
        <w:t>Die Wirtschaftslage in Tunesien hat sich in den letzten Jahren positiv entwickelt. Nach Libyen weist Tunesien inzwischen das zweithöchste Pro-Kopf-Einkommen in Nordafrika auf. Allerdings ist die Arbeitslosigkeit relativ hoch (im Jahr 2007 bei knapp 14%, Quelle: www.auswaertiges-amt.de, Stand November 2007, besucht am 5. März 2008). Die stabile wirtschaftliche und politische Situation vermag jedoch nicht darüber hinweg zu täuschen, dass die wirtschaftliche Lage in Tunesien verglichen mit derjenigen in der Schweiz sehr angespannt ist. Aufgrund dessen gehört Tunesien zu denjenigen Ländern, deren Staatsangehörige versucht sein könnten, sich ins Ausland zu begeben, um sich dort eine neue Existenz aufzubauen. Davon zeugt auch die Höhe der Rücküberweisungen von im Ausland lebenden Tunesiern (5% des Bruttoinlandproduktes [BIP]). Die Tendenz zur Auswanderung zeigt sich erfahrensgemäss besonders stark bei jüngeren und ungebundenen Personen, die bereits über ein gewisses soziales Beziehungsnetz im Ausland verfügen (Freunde, Verwandte). Im Falle der Schweiz führt dies angesichts der restriktiven fremdenpolizeilichen Zulassungsregelung nicht selten zur Umgehung ausländerrechtlicher Bestimmungen. Solche Umstände und Erfahrungen sind beim Visumsentscheid im Rahmen der Abwägung zwischen den öffentlichen Interessen der Schweiz und den privaten Interessen der betroffenen Person zu berücksichtigen. Dies umso mehr, als es um die Beurteilung eines künftigen Verhaltens geht, bezüglich dessen in der Regel keine gesicherten Erkenntnisse vorliegen.</w:t>
      </w:r>
    </w:p>
    <w:p>
      <w:r>
        <w:rPr>
          <w:b/>
        </w:rPr>
        <w:t>E. 3.3</w:t>
      </w:r>
    </w:p>
    <w:p>
      <w:r>
        <w:t>Angesichts der verglichen mit der Schweiz schwierigen wirtschaftlichen Lage in Tunesien ist daher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3.4</w:t>
      </w:r>
    </w:p>
    <w:p>
      <w:r>
        <w:t>Beim Gesuchsteller handelt es sich um einen 30jährigen, ledigen Mann. Er ist in einer Import-Export-Firma mit Sitz in Tunis angestellt. Weitere Angaben wurden weder von ihm noch von der Gastgeberin gemacht. Aus diesen spärlichen Informationen sind keine familiären oder gesellschaftlichen Verpflichtungen erkennbar, die zugunsten einer fristgerechten und anstandslosen Wiederausreise sprechen würden. Auch die Berücksichtigung der beruflichen Situation führt zu keinem anderen Schluss. Gemäss Arbeitsbestätigung der Arbeitgeberin vom 4. April 2007 ist der Gesuchsteller seit 10. Oktober 2004 dort angestellt. Allerdings nicht als Geschäftsführer, wie die Beschwerdeführerin im kantonalen Fragebogen und in der Beschwerdeschrift geltend macht, sondern lediglich als Fachangestellter (employeur [recte: employé] spécialisé). Es ist daher davon auszugehen, dass auch die berufliche Situation den Gesuchsteller nicht so stark verpflichtet, dass sie ihn nachhaltig von einer Emigration abzuhalten vermöchte.</w:t>
      </w:r>
    </w:p>
    <w:p>
      <w:r>
        <w:rPr>
          <w:b/>
        </w:rPr>
        <w:t>E. 3.5</w:t>
      </w:r>
    </w:p>
    <w:p>
      <w:r>
        <w:t>In der Beschwerdeschrift versichert die Beschwerdeführerin, dass sie dafür sorgen werde, dass der Gesuchsteller eine Woche vor Ablauf des Visums zurück in sein Heimatland fliege. Es gibt zwar keinen Grund, daran zu zweifeln, dass diese Versicherung dem festen Willen der Beschwerdeführerin entspricht. Ein Gastgeber kann jedoch naturgemäss das Verhalten seines Gastes nicht oder nur beschränkt beeinflussen (vgl. das Urteil des Bundesverwaltungsgerichtes C-787/2006 vom 6. Juli 2007 E. 6 mit Hinweis), so dass die Beurteilung, ob die Wiederausreise gesichert erscheint, aufgrund der allgemeinen Lage im betreffenden Herkunftsland und der persönlichen Situation des Gesuchstellers erfolgen muss.</w:t>
      </w:r>
    </w:p>
    <w:p>
      <w:r>
        <w:rPr>
          <w:b/>
        </w:rPr>
        <w:t>E. 4</w:t>
      </w:r>
    </w:p>
    <w:p>
      <w:r>
        <w:t>Zusammenfassend ergibt sich, dass die fristgerechte und anstandslose Wiederausreise des Gesuchstellers als nicht gesichert erscheint. Dabei handelt es sich nicht um eine sichere Erkenntnis, sondern um eine Prognose betreffend das zukünftige Verhalten des Gesuchstellers im Falle ihrer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5</w:t>
      </w:r>
    </w:p>
    <w:p>
      <w:r>
        <w:t>Bei diesem Ausgang des Verfahrens sind die Kosten der Beschwerdeführerin aufzuerlegen (vgl. Art. 63 Abs. 1 VwVG i.V.m Art. 1 und Art. 3 des Reglements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