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C-5250/2012 vom 10. Juli 2014</w:t>
      </w:r>
    </w:p>
    <w:p>
      <w:r>
        <w:t>Bundesverwaltungsgericht, 2014-07-10, DE</w:t>
      </w:r>
    </w:p>
    <w:p>
      <w:r>
        <w:rPr>
          <w:b/>
        </w:rPr>
        <w:t xml:space="preserve">Quelle: </w:t>
      </w:r>
      <w:r>
        <w:t>https://mcp.opencaselaw.ch/entscheid/bvger_C-5250_2012</w:t>
      </w:r>
    </w:p>
    <w:p>
      <w:r>
        <w:t>FR: TAF C-5250/2012 du 10 juillet 2014</w:t>
      </w:r>
    </w:p>
    <w:p>
      <w:r>
        <w:t>IT: TAF C-5250/2012 del 10 luglio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zur Beschwerde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sowie BVGE 2012/21 E. 5.1 je mit Hinweisen).</w:t>
      </w:r>
    </w:p>
    <w:p>
      <w:r>
        <w:rPr>
          <w:b/>
        </w:rPr>
        <w:t>E. 3</w:t>
      </w:r>
    </w:p>
    <w:p>
      <w:r>
        <w:t>Mit Inkrafttreten des AuG am 1. Januar 2008 wurde das ANAG (BS 1 121) abgelöst (vgl. Art. 125 AuG i.V.m. Ziffer I des Anhangs 2 zum AuG). Das AuG beansprucht Geltung auf alle Verfahren, die nach seinem Inkrafttreten eingeleitet wurden, sei es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(vgl. Häfelin et al., Allgemeines Verwaltungsrecht, 6. Aufl. 2010, Rz. 337 ff.).</w:t>
      </w:r>
    </w:p>
    <w:p>
      <w:r>
        <w:rPr>
          <w:b/>
        </w:rPr>
        <w:t>E. 4.1</w:t>
      </w:r>
    </w:p>
    <w:p>
      <w:r>
        <w:t>Das Einreiseverbot gestützt auf Art. 67 Abs. 2 AuG (in der seit dem 1. Januar 2011 gültigen Fassung, zum Ganzen vgl. BBl 2009 8881 und AS 2010 5925)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(Art. 67 Abs. 3 AuG). Aus humanitären oder anderen wichtigen Gründen kann die zuständige Behörde von der Verhängung eines Einreiseverbots absehen oder ein Einreiseverbot vollständig oder vorübergehend aufheben (Art. 67 Abs. 5 AuG).</w:t>
      </w:r>
    </w:p>
    <w:p>
      <w:r>
        <w:rPr>
          <w:b/>
        </w:rPr>
        <w:t>E. 4.2</w:t>
      </w:r>
    </w:p>
    <w:p>
      <w:r>
        <w:t>Das Einreiseverbot ist keine Sanktion für vergangenes Fehlverhalten, sondern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Die Verhängung eines Einreiseverbots knüpft an das Bestehen eines Risikos einer künftigen Gefährdung an. Gestützt auf die Umstände des Einzelfalls ist eine Prognose zu stellen. Dabei ist naturgemäss in erster Linie das vergangene Verhalten der betroffenen Person zu berücksichtigen (vgl. Urteil des BVGer C-956/2012 vom 7. Oktober 2013 E. 5.2 mit Hinweisen).</w:t>
      </w:r>
    </w:p>
    <w:p>
      <w:r>
        <w:rPr>
          <w:b/>
        </w:rPr>
        <w:t>E. 4.3</w:t>
      </w:r>
    </w:p>
    <w:p>
      <w:r>
        <w:t>Wird gegen eine Person, die nicht das Bürgerrecht eines EU-Mitgliedstaates besitzt, ein Einreiseverbot verhängt, so wird diese nach Massgabe der Bedeutung des Falles im Schengener Informationssystem (SIS) zur Einreiseverweigerung ausgeschrieben (vgl. Art. 21 u. Art. 24 SIS-II-VO [ABl. L 381 vom 28. Dezember 2006, S. 4 23], in Kraft seit 9. April 2013, vgl. Beschluss des Rates 2013/158/EU vom 7. März 2013 [Abl. L 87 vom 27. März 2013, S. 10-11] i.V.m. Art. 52 Abs. 1 SIS-II-VO). Damit wird dem Betroffenen grundsätzlich die Einreise in das Hoheitsgebiet aller Schengen-Mitglied­staaten verboten (vgl. Art. 5 Abs. 1 Bst. d sowie Art. 13 Abs. 1 Schengener Grenzkodex [SGK, Abl. L 105 vom 13. April 2006, S. 1-32]). Die Mitgliedstaaten können dem Betroffenen aus wichtigen Gründen oder aufgrund in­ternationaler Verpflichtungen die Einreise in ihr Hoheitsgebiet gestatten bzw. ihm ein Schengen-Visum mit räumlich beschränkter Gül­tigkeit ausstellen (vgl. Art. 13 Abs. 1 i.V.m. Art. 5 Abs. 4 Bst. c SGK; Art. 25 Abs. 1 Bst. a [ii] Visakodex, Abl. L 243 vom 15. September 2009).</w:t>
      </w:r>
    </w:p>
    <w:p>
      <w:r>
        <w:rPr>
          <w:b/>
        </w:rPr>
        <w:t>E. 5.1</w:t>
      </w:r>
    </w:p>
    <w:p>
      <w:r>
        <w:t>Die Vorinstanz stützte das von ihr auf unbestimmte Dauer ausgesprochene Einreiseverbot allgemein auf Art. 67 AuG und verwies zur Begründung auf die vom Beschwerdeführer begangenen Straftaten sowie den Widerruf seiner Niederlassungsbewilligung. Dass der Beschwerdeführer während seiner Anwesenheit in der Schweiz mehrfach straffällig geworden ist, geht aus den Akten hervor und wird nicht bestritten. Der Beschwerdeführer hat mithin klarerweise wiederholt und erheblich gegen die öffentlichen Sicherheit und Ordnung verstossen und damit unter dem Gesichtspunkt von Art. 67 Abs. 2 Bst. a AuG hinreichenden Anlass für die Verhängung eines Einreiseverbots gegeben. Die Einwendungen des Beschwerdeführers beziehen sich denn auch primär auf die Verhältnismässigkeit der angefochtenen Massnahme und werden später geprüft (s. hinten, E. 6).</w:t>
      </w:r>
    </w:p>
    <w:p>
      <w:r>
        <w:rPr>
          <w:b/>
        </w:rPr>
        <w:t>E. 5.2</w:t>
      </w:r>
    </w:p>
    <w:p>
      <w:r>
        <w:t>Nachdem die Vorinstanz gegen den Beschwerdeführer ein unbefristetes Einreiseverbot ausgesprochen hat, ist im Folgenden - ungeachtet des Fehlens einer diesbezüglichen substantiierten Rüge des anwaltlich vertretenen Beschwerdeführers - noch vor der später vorzunehmenden Interessenabwägung von Amtes wegen zu prüfen, ob das Kriterium der schwerwiegenden Gefahr gemäss Art. 67 Abs. 3 AuG erfüllt ist.</w:t>
      </w:r>
    </w:p>
    <w:p>
      <w:r>
        <w:rPr>
          <w:b/>
        </w:rPr>
        <w:t>E. 5.3</w:t>
      </w:r>
    </w:p>
    <w:p>
      <w:r>
        <w:t>Gemäss Art. 67 Abs. 3 AuG wird die Fernhaltemassnahme in der Regel für maximal fünf Jahre angeordnet. Nur wenn die betroffene Person eine schwerwiegende Gefahr für die öffentliche Sicherheit und Ordnung darstellt, kann eine längere Dauer verfügt werden. Eine schwerwiegende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und schwerwiegende Gefahr zu begründen (vgl. BGE 139 II 121 E. 6.3; BVGE 2013/4 E. 7.2.4; Urteile des BVGer C 760/2012 vom 24. Juli 2013 E. 9.4.1 und C-3091/2011 vom 16. August 2013 E. 6.1.5).</w:t>
      </w:r>
    </w:p>
    <w:p>
      <w:r>
        <w:rPr>
          <w:b/>
        </w:rPr>
        <w:t>E. 5.4</w:t>
      </w:r>
    </w:p>
    <w:p>
      <w:r>
        <w:t>Aus den Akten geht hervor, dass der Beschwerdeführer seit seinem 15. Lebensjahr immer wieder mit dem Gesetz in Konflikt gekommen ist (siehe Sachverhalt Bst. B.a - B.i vorstehend). Trotz zahlreicher früherer Verurteilungen und Bestrafungen liess er sich nicht von weiterer und schwerer Delinquenz abhalten. So wurde er wegen Raubes, Drohung, versuchter Nötigung, mehrfachen Tätlichkeiten, Hausfriedensbruch, Widerhandlung gegen das Waffengesetz, mehrfacher Übertretung des Betäubungsmittelgesetzes, grober Verletzung der Verkehrsregeln, Fahrens in fahrunfähigem Zustand sowie wegen weiterer Delikte zu einer Freiheitsstrafe von 18 Monaten sowie zu einer Busse von Fr. 2'000.- verurteilt, unter Ansetzung einer Probezeit von vier Jahren (vgl. Urteil des Kreisgerichts Alttoggenburg-Wil vom 13. März 2007). Noch innert der Probezeit erfolgten weitere Verurteilungen wegen Vergehens gegen das Waffengesetz, weil der Beschwerdeführer in seinem Fahrzeug einen verbotenen Schlagring mit sich geführt hatte, sowie wegen grober und einfacher Verletzung von Verkehrsregeln sowie pflichtwidrigen Verhaltens nach einem Verkehrsunfall, nachdem sich der Betreffende mit einem Landsmann ein Autorennen geliefert hatte, welches zu einem Verkehrsunfall mit einer verletzten Drittperson geführt hatte. Der Beschwerdeführer ist demnach in der Schweiz über eine sehr lange Zeit hinweg in uneinsichtiger Weise immer wieder straffällig geworden. Weder zahlreiche Warnstrafen (Geldstrafen, bedingte Freiheitsstrafen) noch Untersuchungshaft oder ein hängiges ausländerrechtliches Verfahren vermochten ihn von der Begehung weiterer Straftaten abzuhalten. Als gravierend erscheint dabei insbesondere die vom Beschwerdeführer immer wieder an den Tag gelegte Aggressivität und der ausgeprägte Mangel an Respekt vor der psychischen und körperlichen Integrität anderer Menschen. Auch die im Jahr 2008 erfolgte Eheschliessung hielt ihn nicht von der Begehung weiterer Delikte ab. Das Bundesgericht hielt denn auch im Verfahren betreffend Widerruf der Niederlassungsbewilligung unmissverständlich fest, bei dieser Sachlage entstehe vom Beschwerdeführer das Bild eines uneinsichtigen, gewaltbereiten Gewohnheitsdelinquenten, der die zahlreichen ihm eingeräumten Chancen nicht genutzt habe und bei welchem sämtliche in einem Rechtsstaat zur Verfügung stehenden Sanktionen wirkungslos geblieben seien. Sein weiterer Verbleib im Land sei deshalb mit den Sicherheitsinteressen der hiesigen Wohnbevölkerung nicht zu vereinbaren (vgl. Urteil des BGer 2C-965/2011 E. 2.2). Das Bundesverwaltungsgericht hat keine Veranlassung, von der bundesgerichtlichen Beurteilung, die erst zwei Jahre zurückliegt, abzuweichen. Es besteht demnach weiterhin ein erhebliches Risiko, dass der Beschwerdeführer in frühere Verhaltensmuster verfällt, mithin ein strukturelles Rückfallrisiko (vgl. dazu Urteil des BVGer C-4898/2012 vom 1. Mai 2014 E. 5.6). In casu ist daher davon auszugehen, dass der Beschwerdeführer auch zum heutigen Zeitpunkt eine schwerwiegende Gefahr für die öffentliche Sicherheit und Ordnung darstellt. Dies rechtfertigt grundsätzlich eine Überschreitung der fünfjährigen Regelhöchstdauer des Einreiseverbots gemäss Art. 67 Abs. 3 AuG (s. vorne, E. 5.3). Angesichts der langjährigen Delinquenz des Beschwerdeführers erweist sich hingegen der Hinweis seines Rechtsvertreters, sein Mandant habe in den letzten Jahren vor seiner Ausreise immerhin gezeigt, dass er das Seinige gelernt habe und sich an die hiesigen Regeln halten könne, als unbehelflich.</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a.a.O., Rz. 613 ff.).</w:t>
      </w:r>
    </w:p>
    <w:p>
      <w:r>
        <w:rPr>
          <w:b/>
        </w:rPr>
        <w:t>E. 6.2</w:t>
      </w:r>
    </w:p>
    <w:p>
      <w:r>
        <w:t>Vom Beschwerdeführer geht wie dargetan (s. vorne, E. 5.3 und 5.4) nach wie vor eine schwerwiegende Gefahr für die öffentliche Sicherheit und Ordnung aus, weshalb klarerweise ein grosses öffentliches Fernhalteinteresse besteht. Zu berücksichtigen ist, dass er über Jahre hinweg in zunehmend gewalttätiger Weise aufgetreten ist, sich gar von einem Raubüberfall nicht abbringen liess und damit eine der in Art. 121 Abs. 3 BV genannten Anlasstaten begangen hat, welche nach dem Verfassungsgeber dazu führen sollen, dass der Täter aus der Schweiz ausgewiesen und mit einem Einreiseverbot von fünf bis fünfzehn Jahren belegt wird (vgl. Art. 121 Abs. 5 BV). Der Wertung dieser nicht direkt anwendbaren Verfassungsnorm (vgl. BGE 139 I 16 E. 4.3) ist anlässlich der Interessenabwägung insoweit Rechnung zu tragen, als dies zu keinem Widerspruch zum Völkerrecht oder anderen Verfassungsbestimmungen führt (vgl. BGE 139 I 31 E. 2.3.2 sowie Urteile des BVGer C-4898/2012 E. 6.2 sowie C-4568/2012 vom 6. September 2013 E. 7.4 je mit Hinweisen). Das Einreiseverbot soll weiteren Straftaten des Beschwerdeführers in der Schweiz entgegenwirken. Das Hauptaugenmerk der Massnahme liegt in der spezialpräventiven Zielsetzung, wonach sie den Beschwerdeführer dazu anhalten soll, bei einer allfälligen künftigen Wiedereinreise in die Schweiz resp. in den Schengen-Raum nach Ablauf der Dauer des Einreiseverbots keine weiteren Verstösse gegen die öffentliche Ordnung und Sicherheit zu begehen (vgl. Urteil des BVGer C 3213/2013 vom 31. Januar 2014 E. 6.4). Als gewichtig zu betrachten ist auch das generalpräventiv motivierte Interesse, die öffentliche Sicherheit und Ordnung durch eine konsequente Massnahmenpraxis zu schützen (vgl. Urteil des BGer 2C_948/2011 vom 11. Juli 2012 E. 3.4.2).</w:t>
      </w:r>
    </w:p>
    <w:p>
      <w:r>
        <w:rPr>
          <w:b/>
        </w:rPr>
        <w:t>E. 6.3.1</w:t>
      </w:r>
    </w:p>
    <w:p>
      <w:r>
        <w:t>Den öffentlichen Interessen sind die privaten Interessen des Beschwerdeführers und seiner Familie gegenüberzustellen. Der Beschwerdeführer bringt in diesem Zusammenhang vor, er sei mit einer in der Schweiz niedergelassenen Landsfrau verheiratet. Zudem lebten alle seine Tanten und Onkel hierzulande, in der Bundesrepublik Deutschland oder in Finnland. Diese Umstände würden sein Interesse und dasjenige seiner Ehefrau an der Aufhebung, zumindest aber an einer zeitlichen Beschränkung des Einreiseverbots auf eine Dauer von zwei Jahren, unterstreichen. Der Beschwerdeführer beruft sich damit auf das Recht auf Familienleben gemäss Art. 8 EMRK und Art. 13 BV.</w:t>
      </w:r>
    </w:p>
    <w:p>
      <w:r>
        <w:rPr>
          <w:b/>
        </w:rPr>
        <w:t>E. 6.3.2</w:t>
      </w:r>
    </w:p>
    <w:p>
      <w:r>
        <w:t>Hervorzuheben ist, dass allfällige Einschränkungen des Privat- bzw. Familienlebens vorliegend auf­grund sachlicher und funktioneller Unzuständigkeit des Bundesverwal­tungsgerichts nicht Verfahrensgegenstand sein können, soweit sie auf das Fehlen eines dauerhaften Aufenthaltsrechts in der Schweiz zurückzu­führen sind. Der Beschwerdeführer musste die Schweiz nach dem Widerruf seiner Niederlassungsbewilligung Ende Juli 2012 verlassen (vgl. Sachverhalt Bst. C) und verzichtete - jedenfalls soweit ersichtlich - bis anhin darauf, ein neuerliches Aufenthaltsverfahren anzustrengen. Die Wohnsitznahme in der Schweiz wie auch die Pflege regelmässiger persönlicher Kontakte zur hier lebenden Ehefrau scheitern mithin bereits an der nicht mehr vorhandenen Aufenthaltsberechtigung des Beschwerdeführers. Eine allfällige neue Bewilligung im Rahmen des Familiennachzugs ist nicht Gegenstand dieses Verfahrens. Hierfür ist der Kanton zuständig (vgl. dazu BVGE 2013/4 E. 7.4.1).</w:t>
      </w:r>
    </w:p>
    <w:p>
      <w:r>
        <w:rPr>
          <w:b/>
        </w:rPr>
        <w:t>E. 6.3.3</w:t>
      </w:r>
    </w:p>
    <w:p>
      <w:r>
        <w:t>Nach dem Gesagten stellt sich im Folgenden nunmehr einzig die Frage, ob die über die Verweigerung des Aufenthaltsrechts hinausgehen­de, durch das Einreiseverbot zusätzlich bewirkte Erschwernis vor Art. 8 Ziff. 1 EMRK und Art. 13 Abs. 1 BV standhält. Bei dieser Prüfung ist zu berücksichtigen, dass dem Beschwerdeführer durch das Einreiseverbot Besuchsaufenthalte bei seiner Ehegattin in der Schweiz nicht schlechthin untersagt werden. Es steht ihm - wie die Vorinstanz in ihrer Vernehmlassung zu Recht festgehalten hat - vielmehr die Möglichkeit offen, aus wichtigen Gründen mittels begründetem Gesuch die zeitweilige Sus­pension der angeordneten Fernhaltemassnahme zu beantragen (Art. 67 Abs. 5 AuG). Diese Suspension wird freilich praxisgemäss jeweils nur für eine kurze und klar begrenzte Zeit gewährt. Den geltend gemachten privaten Interessen des Beschwerdeführers und seinen Angehörigen in der Schweiz kann somit im dargelegten Umfang und Rahmen Rechnung getragen werden. Zudem kann die aus demselben Kulturkreis stammende Ehefrau den Beschwerdeführer im Kosovo besuchen und den Kontakt auch mittels Telefon und modernen Kommunikationsmitteln aufrechterhalten. Allerdings darf ein Einreiseverbot nicht mittels Suspensionen ausgehöhlt werden. Selbst wenn die Vorinstanz dem Wunsch nach Kontaktpflege relativ grosszügig nachkommt, kann mithin ein Familienleben lediglich in erheblich eingeschränktem Rahmen stattfinden (vgl. BVGE 2013/4 E. 7.4.3 mit Hinweisen). Die mit dem Einreiseverbot einhergehenden Einschränkungen hat der Beschwerdeführer jedoch hinzunehmen, zumal sie zur Verhütung von Straftaten und zum Schutz der öffentlichen Sicherheit erforderlich sind (vgl. Art. 8 Abs. 2 EMRK).</w:t>
      </w:r>
    </w:p>
    <w:p>
      <w:r>
        <w:rPr>
          <w:b/>
        </w:rPr>
        <w:t>E. 6.3.4</w:t>
      </w:r>
    </w:p>
    <w:p>
      <w:r>
        <w:t>Die Angaben des Beschwerdeführers betreffend seine in der Schweiz lebende Ehefrau sind belegt oder aktenkundig. Es ist sodann davon auszugehen, dass die familiären Beziehungen des Beschwerdeführers grundsätzlich intakt sind und die Kontakte soweit möglich gepflegt werden. Der Beschwerdeführer und seine Ehefrau haben daher ein ausgeprägtes privates Interesse an einer Aufhebung bzw. Beschränkung der Dauer des Einreiseverbots, zumal dieses das Familienleben erheblich erschweren dürfte.</w:t>
      </w:r>
    </w:p>
    <w:p>
      <w:r>
        <w:rPr>
          <w:b/>
        </w:rPr>
        <w:t>E. 6.3.5</w:t>
      </w:r>
    </w:p>
    <w:p>
      <w:r>
        <w:t>Mit Bezug auf die im Jahr 2008 erfolgte Eheschliessung gilt es jedoch darauf hinzuweisen, dass die Heirat erfolgte, als der Beschwerdeführer bereits zu 18 Monaten Freiheitsstrafe verurteilt worden und das fremdenpolizeiliche Verfahren bereits hängig gewesen war. Der Beschwerdeführer und seine Ehefrau konnten sich daher nicht darauf verlassen, die Ehe in der Schweiz leben zu können und mussten sich deshalb im Klaren sein darüber, dass ein Zusammenleben in der Schweiz für eine lange Dauer nicht möglich sein würde (vgl. Urteil des BGer 2C_249/2012 vom 7. Dezember 2012 E. 3.7 mit Hinweisen). Zudem vermittelt das verfassungs- und konventionsrechtlich garantierte Recht auf Achtung des Familienlebens keinen Anspruch auf freie Wahl des für das Familienleben am geeignetsten erscheinenden Orts. Muss eine ausländische Person das Land verlassen, haben dies ihre Familienangehörigen hinzunehmen, wenn es ihnen ohne Schwierigkeiten möglich ist, mit auszureisen. Erscheint die Ausreise nicht ohne Weiteres zumutbar, ist eine Interessenabwägung resp. eine Einzelfallbetrachtung geboten (vgl. BGE 137 I 247 E. 4.1.1 f. mit Hinweisen). Der Beschwerdeführer hat nicht substantiiert dazu Stellung genommen, weshalb ein Zusammenleben der Ehegatten in ihrem Herkunftsland nicht möglich wäre. Aus den vor-instanzlichen Akten geht allerdings hervor, dass die Ehefrau offenbar seit ihrem ersten Lebensjahr in der Schweiz lebt, womit eine Integration im Kosovo aus familiären, wirtschaftlichen und möglicherweise auch sprachlichen Gründen mit erheblichen Schwierigkeit und Härten verbunden wäre.</w:t>
      </w:r>
    </w:p>
    <w:p>
      <w:r>
        <w:rPr>
          <w:b/>
        </w:rPr>
        <w:t>E. 6.4</w:t>
      </w:r>
    </w:p>
    <w:p>
      <w:r>
        <w:t>Im Sinne einer ausgewogenen Würdigung des öffentlichen Interesses am Schutz der Allgemeinheit vor möglichen weiteren Straftaten einerseits und den geltend gemachten privaten und beruflichen Interessen andererseits ist dem Beschwerdeführer und seiner Ehefrau aber insofern eine Perspektive zu gewähren, als dass die durch das Einreiseverbot verursachte Erschwernis des Ehelebens zwar von einiger, aber nicht überlanger Dauer ist. Besagte Perspektive setzt allerdings zwingend ein Wohlverhalten voraus, welches der Beschwerdeführer sowohl in seinem Heimatland als auch bei zukünftigen Besuchen in der Schweiz unter Beweis zu stellen hat.</w:t>
      </w:r>
    </w:p>
    <w:p>
      <w:r>
        <w:rPr>
          <w:b/>
        </w:rPr>
        <w:t>E. 6.5</w:t>
      </w:r>
    </w:p>
    <w:p>
      <w:r>
        <w:t>Eine wertende Gewichtung der sich entgegenstehenden Interessen führt das Bundesverwaltungsgericht zum Schluss, dass das Einreiseverbot dem Grundsatze nach zu bestätigen ist, in der ausgesprochenen unbefristeten Dauer jedoch unverhältnismässig ist. In Würdigung der gesamten Umstände kann davon ausgegangen werden, dass dem öffentlichen Interesse mit der Beschränkung des Einreiseverbots auf die Dauer von zehn Jahren hinreichend Rechnung getragen wird.</w:t>
      </w:r>
    </w:p>
    <w:p>
      <w:r>
        <w:rPr>
          <w:b/>
        </w:rPr>
        <w:t>E. 7</w:t>
      </w:r>
    </w:p>
    <w:p>
      <w:r>
        <w:t>Die Vorinstanz hat in der angefochtenen Verfügung ferner die Ausschreibung des Einreiseverbots im SIS angeordnet. Der Beschwerdeführer ist kosovarischer Staatsangehöriger und damit Drittstaatsangehöriger im Sinne von Art. 3 Bst. d SIS-II-VO. Aufgrund der Ausschreibung im SIS ist es ihm untersagt, den Schengen-Raum zu betreten. Der darin liegende Eingriff wird durch die Bedeutung des Falles gerechtfertigt (vgl. Art. 21 i.V.m. Art. 24 Abs. 2 SIS-II-VO).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Voraussetzungen für die Ausschreibung des Einreiseverbots (nunmehr beschränkt auf zehn Jahre) sind demnach erfüllt.</w:t>
      </w:r>
    </w:p>
    <w:p>
      <w:r>
        <w:rPr>
          <w:b/>
        </w:rPr>
        <w:t>E. 8</w:t>
      </w:r>
    </w:p>
    <w:p>
      <w:r>
        <w:t>Aus diesen Erwägungen folgt, dass das unbefristete Einreiseverbot Bundesrecht verletzt (vgl. Art. 49 VwVG). Die Beschwerde ist daher teilweise gutzuheissen und das gegen den Beschwerdeführer verhängte Einreiseverbot auf zehn Jahre, bis zum 4. September 2022, zu befristen.</w:t>
      </w:r>
    </w:p>
    <w:p>
      <w:r>
        <w:rPr>
          <w:b/>
        </w:rPr>
        <w:t>E. 9</w:t>
      </w:r>
    </w:p>
    <w:p>
      <w:r>
        <w:t>Entsprechend dem Ausgang des Verfahrens sind dem Beschwerdeführer die ermässigten Verfahrenskosten aufzuerlegen und daran den geleisteten Kostenvorschuss anzurechnen (vgl. Art. 63 Abs. 1 VwVG i.V.m. Art. 1, Art. 2 und Art. 3 Bst. b des Reglements vom 21. Februar 2008 über die Kosten und Entschädigungen vor dem Bundesverwaltungsgericht [VGKE, SR 173.320.2]). Im Umfang seines Obsiegens ist dem Beschwerdeführer eine gekürzte Parteientschädigung in gerichtlich festzusetzender Höhe zuzusprechen (Art. 64 Abs. 1 VwVG i.V.m.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