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C-5236/2017 vom 25. September 2018</w:t>
      </w:r>
    </w:p>
    <w:p>
      <w:r>
        <w:t>Bundesverwaltungsgericht, 2018-09-25, DE</w:t>
      </w:r>
    </w:p>
    <w:p>
      <w:r>
        <w:rPr>
          <w:b/>
        </w:rPr>
        <w:t xml:space="preserve">Quelle: </w:t>
      </w:r>
      <w:r>
        <w:t>https://mcp.opencaselaw.ch/entscheid/bvger_C-5236_2017</w:t>
      </w:r>
    </w:p>
    <w:p>
      <w:r>
        <w:t>FR: TAF C-5236/2017 du 25 septembre 2018</w:t>
      </w:r>
    </w:p>
    <w:p>
      <w:r>
        <w:t>IT: TAF C-5236/2017 del 25 settembre 2018</w:t>
      </w:r>
    </w:p>
    <w:p>
      <w:pPr>
        <w:pStyle w:val="Heading2"/>
      </w:pPr>
      <w:r>
        <w:t>Regeste</w:t>
      </w:r>
    </w:p>
    <w:p>
      <w:r>
        <w:t>Rente</w:t>
      </w:r>
    </w:p>
    <w:p>
      <w:pPr>
        <w:pStyle w:val="Heading2"/>
      </w:pPr>
      <w:r>
        <w:t>Erwägungen</w:t>
      </w:r>
    </w:p>
    <w:p>
      <w:r>
        <w:rPr>
          <w:b/>
        </w:rPr>
        <w:t>E. 1.1</w:t>
      </w:r>
    </w:p>
    <w:p>
      <w:r>
        <w:t>Gemäss Art. 31 VGG (SR 173.32) in Verbindung mit Art. 33 lit. d VGG und Art. 85bis Abs. 1 AHVG (SR 831.10) beurteilt das Bundesverwaltungsgericht Beschwerden von Personen im Ausland gegen Verfügungen der SAK. Es liegt keine Ausnahme im Sinne von Art. 32 VGG vor. Das Bundesverwaltungsgericht ist somit zur Beurteilung der vorliegenden Beschwerde zuständig.</w:t>
      </w:r>
    </w:p>
    <w:p>
      <w:r>
        <w:rPr>
          <w:b/>
        </w:rPr>
        <w:t>E. 1.2</w:t>
      </w:r>
    </w:p>
    <w:p>
      <w:r>
        <w:t>Aufgrund von Art. 3 lit. dbis VwVG (SR 172.021) findet das VwVG keine Anwendung auf das Verfahren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 (vgl. auch Art. 48 Abs. 1 VwVG).</w:t>
      </w:r>
    </w:p>
    <w:p>
      <w:r>
        <w:rPr>
          <w:b/>
        </w:rPr>
        <w:t>E. 1.4</w:t>
      </w:r>
    </w:p>
    <w:p>
      <w:r>
        <w:t>Die Beschwerde ist innerhalb von 30 Tagen nach der Eröffnung der Verfügung einzureichen (Art. 60 Abs. 1 ATSG). Schriftliche Eingaben müssen spätestens am letzten Tag der Frist der Behörde eingereicht oder zu deren Handen der Schweizerischen Post oder einer schweizerischen diplomatischen oder konsularischen Vertretung übergeben werden (Art. 39 Abs. 1 i.V.m. Art. 60 Abs. 2 ATSG; Art. 21 Abs. 1 VwVG). Nach der Rechtsprechung genügt die Aufgabe der Sendung bei einer ausländischen Poststelle - anderslautende staatsvertragliche Bestimmungen vorbehalten - für die Wahrung der Rechtsmittelfrist nicht. Um sich gegenüber einer im Ausland wohnhaften Person auf die in Art. 21 Abs. 1 VwVG (bzw. Art. 39 Abs. 1 ATSG) enthaltene Regel berufen zu können, wonach eine Beschwerdeschrift der Schweizerischen Post zu übergeben ist, muss die Verwaltung jedoch diese Gesetzesbestimmung in der Rechtsmittelbelehrung wörtlich wiedergeben, andernfalls auf die Beschwerde als Folge unrichtiger Rechtsmittelbelehrung einzutreten ist, wenn sie innert Frist bei der ausländischen Post aufgegeben wurde (vgl. Urteil des BGer 9C_339/2008 vom 27. Mai 2008 E. 2.2 mit weiteren Hinweisen; Urteil BVGer C-2054/2016 vom 9. Oktober 2014 E. 1.4.1). Der angefochtene Einspracheentscheid enthält demgegenüber bei der Rechtsmittelbelehrung keinen Hinweis auf die Einreichung bei der Schweizerischen Post.</w:t>
      </w:r>
    </w:p>
    <w:p>
      <w:r>
        <w:rPr>
          <w:b/>
        </w:rPr>
        <w:t>E. 1.5</w:t>
      </w:r>
    </w:p>
    <w:p>
      <w:r>
        <w:t>Art. 60 Abs. 2 ATSG erklärt die Regelungen von Art. 38 - 41 ATSG als sinngemäss anwendbar. Vorliegend ist insbesondere Art. 38 ATSG anwendbar, wonach die Frist am Tag nach ihrer Mitteilung zu laufen beginnt (Abs. 1) und in der Zeit von 15. Juli bis und mit dem 15. August stillsteht (Fristenstillstand, Abs. 4 Bst. b).</w:t>
      </w:r>
    </w:p>
    <w:p>
      <w:r>
        <w:rPr>
          <w:b/>
        </w:rPr>
        <w:t>E. 1.6</w:t>
      </w:r>
    </w:p>
    <w:p>
      <w:r>
        <w:t>Der angefochtene Entscheid datiert vom 27. Juni 2017 (Vorakten 54, BVGer act. 1/1) und ging gemäss Angaben des Beschwerdeführers am 5. Juli 2017 ein (Vorakten 58/2), womit die Frist unter Berücksichtigung des Fristenstillstands am 5. September 2017 ablief. Die Beschwerde datiert vom 4. August 2017 (BVGer act. 1), wurde gleichentags der ausländischen Post übergeben und ging am 17. August 2017 beim Versicherungsgericht des Kantons C._______ ein (BVGer act. 1). Unbeachtlich ist, dass es sich hierbei um ein unzuständiges Gericht handelt (vgl. Art. 39 Abs. 2 ATSG; BGE 121 I 95). Die Frist zur Erhebung der Beschwerde ist damit gewahrt.</w:t>
      </w:r>
    </w:p>
    <w:p>
      <w:r>
        <w:rPr>
          <w:b/>
        </w:rPr>
        <w:t>E. 1.7</w:t>
      </w:r>
    </w:p>
    <w:p>
      <w:r>
        <w:t>Schliesslich wurde die Beschwerde auch formgerecht (Art. 61 Bst. b ATSG; vgl. dazu auch Art. 52 Abs. 1 VwVG) eingereicht, womit darauf einzutreten ist.</w:t>
      </w:r>
    </w:p>
    <w:p>
      <w:r>
        <w:rPr>
          <w:b/>
        </w:rPr>
        <w:t>E. 1.8</w:t>
      </w:r>
    </w:p>
    <w:p>
      <w:r>
        <w:t>Die Beschwerdeführenden können im Rahmen des Beschwerdever-fahrens die Verletzung von Bundesrecht unter Einschluss des Miss-brauchs oder der Überschreitung des Ermessens, die unrichtige oder un-vollständige Feststellung des Sachverhaltes sowie Unangemessenheit des Entscheides rügen (Art. 49 VwVG).</w:t>
      </w:r>
    </w:p>
    <w:p>
      <w:r>
        <w:rPr>
          <w:b/>
        </w:rPr>
        <w:t>E. 2.1</w:t>
      </w:r>
    </w:p>
    <w:p>
      <w:r>
        <w:t>Der Beschwerdeführer ist serbischer Staatsangehöriger und wohnt in Kosovo.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(vgl. BGE 126 V 203 E. 2b, 122 V 382 E. 1, 119 V 101 E. 3). Zwischenzeitlich hat die Schweiz mit Nachfolgestaaten des ehemaligen Jugoslawiens (Kroatien, Slowenien und Mazedonien) neue Abkommen über Soziale Sicherheit abgeschlossen. Im Verhältnis zu Serbien schloss die Schweiz am 11. Oktober 2010 ein Abkommen ab. Dieses wurde indes bis dato von der Bundesversammlung noch nicht behandelt und damit auch noch nicht genehmigt (vgl. zum aktuellen Stand der Beratungen &lt;https://www.parlament.ch/de/ratsbetrieb/suche-curia-vista/geschaeft?AffairId=20180021&gt;, abgerufen am 31.07.2018; vgl. auch Botschaft vom 14. Februar 2018 zur Genehmigung der Abkommen zwischen der Schweiz und Serbien sowie zwischen der Schweiz und Montenegro über soziale Sicherheit, BBl 2018 1153 ff.). Für den Beschwerdeführer als Bürger von Serbien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Altersversicherung gehört, einander gleich, soweit nichts anderes bestimmt ist. Da vorliegend keine abweichenden Bestimmungen zur Anwendung gelangen, bestimmt sich der Anspruch des Beschwerdeführers auf Leistungen der schweizerischen AHV nach schweizerischem Recht, womit für die Beantwortung der Frage, ob die Verrechnung zulässig war, insbesondere das AHVG und die Verordnung vom 31. Oktober 1947 über die Alters- und Hinterlassenenversicherung (AHVV, SR 831.101) einschlägig sind.</w:t>
      </w:r>
    </w:p>
    <w:p>
      <w:r>
        <w:rPr>
          <w:b/>
        </w:rPr>
        <w:t>E. 2.2</w:t>
      </w:r>
    </w:p>
    <w:p>
      <w:r>
        <w:t>In zeitlicher Hinsicht sind grundsätzlich diejenigen materiellen Rechtssätze massgebend, die bei der Erfüllung des zu Rechtsfolgen führenden Tatbestandes Geltung hatten (vgl. BGE 130 V 445 E. 1.2.1 f. m.H., BGE 127 V 467 E. 1, BGE 126 V. 136 E. 4b). Der Beschwerdeführer erreichte am 28. Februar 2015 das ordentliche Rentenalter, womit sein Anspruch auf eine Altersrente am 1. März 2015 begann und vorliegend für die Prüfung der Verrechnung jene Bestimmungen anwendbar sind, welche am 1. März 2015 in Kraft waren.</w:t>
      </w:r>
    </w:p>
    <w:p>
      <w:r>
        <w:rPr>
          <w:b/>
        </w:rPr>
        <w:t>E. 3</w:t>
      </w:r>
    </w:p>
    <w:p>
      <w:r>
        <w:t>Anfechtungsobjekt und damit Begrenzung des Streitgegenstands des vorliegenden Beschwerdeverfahrens (vgl. BGE 131 V 164 E. 2.1) bildet der Einspracheentscheid vom 27. Juni 2017, mit dem die Vorinstanz die Ausrichtung einer monatlichen Altersrente in der Höhe von Fr. 447.- und die Verrechnung derselben mit der Rückerstattungsforderung wegen der zu Unrecht ausgerichteten einmaligen Abfindung in der Höhe von Fr. 50'810.- verfügt hat. Mit Schreiben vom 24. Juli 2017 (Vorakten 58/2) erklärte sich der Beschwerdeführer mit dem Einspracheentscheid einverstanden, beantragte jedoch die Ausrichtung eines Drittels der monatlichen Altersrente. Mit Beschwerde vom 4. August 2017 (BVGer act. 1) bestätigte er den Antrag auf Ausrichtung eines Drittels der monatlichen Altersrente, womit er sinngemäss rügte, die Verrechnung sei zu Unrecht erfolgt. Zu prüfen ist damit die Zulässigkeit der Verrechnung der monatlichen Altersrente mit der bereits ausgerichteten einmaligen Abfindung.</w:t>
      </w:r>
    </w:p>
    <w:p>
      <w:r>
        <w:rPr>
          <w:b/>
        </w:rPr>
        <w:t>E. 4.1</w:t>
      </w:r>
    </w:p>
    <w:p>
      <w:r>
        <w:t>Grundsätzlich sind nach Art. 25 Abs. 1 ATSG unrechtmässig bezogene Leistungen zurückzuerstatten (Satz 1). Dies gilt jedoch nicht, wenn die Leistungen in gutem Glauben empfangen wurden und wenn eine grosse Härte vorliegt (Satz 2; vgl. auch Art. 4 Abs. 1 ATSV [SR 830.11]).</w:t>
      </w:r>
    </w:p>
    <w:p>
      <w:r>
        <w:rPr>
          <w:b/>
        </w:rPr>
        <w:t>E. 4.1.1</w:t>
      </w:r>
    </w:p>
    <w:p>
      <w:r>
        <w:t>Eine "bezogene Leistung" liegt vor, wenn die Geld- oder Sachleistung bereits ausgerichtet worden ist, denn erst nach Erhalt einer (einmaligen oder dauernden) Leistung kann sich die Frage der Rückerstattung stellen (vgl. Thomas Locher / Thomas Gächter, Grundriss des Sozialversicherungsrechts, 4. Aufl., Bern/Zürich 2014, §34 N. 4).</w:t>
      </w:r>
    </w:p>
    <w:p>
      <w:r>
        <w:rPr>
          <w:b/>
        </w:rPr>
        <w:t>E. 4.1.2</w:t>
      </w:r>
    </w:p>
    <w:p>
      <w:r>
        <w:t>Unrechtmässig ist eine bezogene Leistung, wenn deren Ausrichtung gegen das materielle Sozialversicherungsrecht verstösst. Die Mangelhaftigkeit kann (vgl. Locher/Gächter, a.a.O., §34 N. 5): - von Anfang bestehen, weil der einer Leistung zugrunde liegende Sachverhalt unrichtig festgestellt oder gewürdigt worden ist bzw. aus dem zutreffenden Sachverhalt rechtlich fehlerhafte Schlüsse gezogen worden sind, oder - darin liegen dass die ursprünglich zutreffende Gewährung einer Dauerleistung nachträglich unrichtig geworden ist, weil sich die tatsächlichen und/oder die rechtlichen Verhältnisse verändert haben, wobei die Leistung gleichwohl weiterhin ausgerichtet wurde, oder - von Anfang an überhaupt kein Rechtsgrund für die Leistung bestanden hat (irrtümliche Leistung). Die Verfügung vom 29. August 2016 (einmalige Abfindung, Vorakten 21) war anfänglich unrichtig, da sie gestützt auf einen unvollständigen Eintrag im individuellen Konto des Beschwerdeführers erfolgte, indem damals die Beitragsjahre 1993 bis 1996 noch nicht eingetragen waren. Die Unrichtigkeit der Verfügung vom 29. August 2016 ist vorliegend unbestritten.</w:t>
      </w:r>
    </w:p>
    <w:p>
      <w:r>
        <w:rPr>
          <w:b/>
        </w:rPr>
        <w:t>E. 4.1.3</w:t>
      </w:r>
    </w:p>
    <w:p>
      <w:r>
        <w:t>Eine Rückforderung setzt voraus, dass das Organ der Sozialversicherung auf die ursprüngliche Gewährung der Leistung zurückkommt, unabhängig davon, ob diese mit einem formell rechtskräftigen Verwaltungsakt (Verfügung bzw. Einspracheentscheid) oder - sofern gemäss Art. 51 ATSG zulässig - formlos zugesprochen worden ist. Ein Zurückkommen auf eine formell rechtskräftige Leistungsgewährung ist jedoch nur dann zulässig, wenn die Voraussetzungen der prozessualen Revision oder Wiedererwägung erfüllt sind (vgl. Locher/Gächter, a.a.O. §34 N. 8 mit Hinweis auf BGE 138 V 431 E. 5.2.1). Gemäss bundesgerichtlicher Rechtsprechung kann die Verwaltung auf eine noch nicht in formelle Rechtskraft erwachsene Verfügung zurückkommen, selbst wenn die Voraussetzungen einer Wiedererwägung nicht erfüllt sind (vgl. BGE 107 V 191 E. 1). Die Verfügung vom 29. August 2016 (Vorakten 21) wurde mit Einsprache vom 13. September 2016 (Vorakten 27) angefochten und ist bisher nicht in Rechtskraft erwachsen (vgl. E. 5 hiernach). Folglich liegt noch keine formelle Rechtskraft dieser Verfügung vor.</w:t>
      </w:r>
    </w:p>
    <w:p>
      <w:r>
        <w:rPr>
          <w:b/>
        </w:rPr>
        <w:t>E. 4.2</w:t>
      </w:r>
    </w:p>
    <w:p>
      <w:r>
        <w:t>Die Festlegung einer (allfälligen) Rückerstattung von Leistungen erfolgt in einem mehrstufigen Verfahren: In einem ersten Entscheid ist über die Frage der Unrechtmässigkeit des Bezuges der Leistung zu befinden. Daran schliesst sich zweitens der Entscheid über die Rückerstattung an, in dem zu beantworten ist, ob - bei der festgestellten Unrechtmässigkeit des Leistungsbezugs - eine rückwirkende Korrektur gemäss Art. 25 Abs. 1 Satz 1 ATSG erfolgt. Die bundesgerichtliche Rechtsprechung lässt es allerdings zu, dass über die Unrechtmässigkeit des Leistungsbezugs und über die allfällige sich daraus ergebende Rückerstattungspflicht gemeinsam entschieden wird (vgl. Urteil des BGer 9C_564/2009 vom 22. Januar 2010 E. 6.4; UELI KIESER, Rückforderung unrechtmässig bezogener Leistungen von Dritten, in: Sozialversicherungsrechtstagung 2010, 2011, S. 224). Schliesslich ist drittens über den Erlass der zurückzuerstattenden Leistung gemäss Art. 25 Abs. 1 Satz 2 ATSG zu entscheiden (vgl. UELI KIESER, ATSG-Kommentar, 3. Aufl. 2015, N. 9).</w:t>
      </w:r>
    </w:p>
    <w:p>
      <w:r>
        <w:rPr>
          <w:b/>
        </w:rPr>
        <w:t>E. 4.3</w:t>
      </w:r>
    </w:p>
    <w:p>
      <w:r>
        <w:t>Die Rückerstattungsforderung kann mittels Verrechnung getilgt werden, sofern dies das Einzelgesetz zulässt (vgl. KIESER a.a.O., Rz. 30 zu Art. 25). In Anwendung von Art. 20 Abs. 2 Bst. a AHVG können AHV-Rückforderungen mit fälligen AHV-Renten verrechnet werden (vgl. BGE 137 V 175 betreffend Verrechnung von Rückforderungen mit Nachzahlungen), sofern das betreibungsrechtliche Existenzminimum nicht beeinträchtigt ist (vgl. BGE 138 V 402 E. 4.2; BGE 131 V 249 E. 1.2 und E. 3.3 m.H.). Die Verrechnung einander gegenüberstehender Forderungen setzt voraus, dass der Bestand der beiden zur Verrechnung gebrachten Forderungen gesichert ist. Der Bestand einer rechtskräftig festgesetzten Rückerstattungsforderung ist noch nicht definitiv geklärt, wenn noch nicht über ein allfälliges Erlassgesuch entschieden worden ist. Die Verwaltung kann daher nicht Verrechnungen vornehmen und der versicherten Person die gesetzlich vorgesehene Erlassmöglichkeit vorenthalten (vgl. Urteil des BGer C 21/07 vom 11. Februar 2008 E. 2.2; Urteile des BVGer C-2744/2013 vom 18. August 2015 E. 7.2.3; C-3164/2016 vom 8. Juni 2017 E. 5.3).</w:t>
      </w:r>
    </w:p>
    <w:p>
      <w:r>
        <w:rPr>
          <w:b/>
        </w:rPr>
        <w:t>E. 5</w:t>
      </w:r>
    </w:p>
    <w:p>
      <w:r>
        <w:t>Vorliegend wurden, wie nachfolgend zu zeigen ist, die verfahrensrechtlichen Schritte hinsichtlich der Rückforderung der einmaligen Abfindung und dem in einem gesonderten Verfahren zu prüfenden Erlass der Rückerstattung nicht hinreichend eingehalten.</w:t>
      </w:r>
    </w:p>
    <w:p>
      <w:r>
        <w:rPr>
          <w:b/>
        </w:rPr>
        <w:t>E. 5.1</w:t>
      </w:r>
    </w:p>
    <w:p>
      <w:r>
        <w:t>Zunächst ist das Vorgehen der Vorinstanz darzustellen: Mit Verfügung vom 29. August 2016 (Vorakten 21) sprach die Vorinstanz dem Beschwerdeführer per 1. März 2015 eine einmalige Abfindung in der Höhe von Fr. 50'810.- zu und überwies ihm den Betrag per 9. September 2016 (Vorakten 41/2), das heisst während der Rechtsmittelfrist. Gegen die Verfügung vom 29. August 2016 erhob der Beschwerdeführer am 13. September 2016 Einsprache (Vorakten 27) und machte geltend, dass er auch in den Jahren 1993, 1994, 1995 und 1996 in der Schweiz berufstätig gewesen sei. Abklärungen seitens der Vorinstanz ergaben, dass dies zutraf und das individuelle Konto wurde korrigiert (Vorakten 40/1). Mit Brief vom 12. Januar 2017 (Vorakten 41) teilte die Vorinstanz dem Beschwerdeführer mit, dass das individuelle Konto korrigiert worden sei und legte die neuen Berechnungsparameter der Rente dar. Zudem führte sie aus, die neu berechnete monatliche Rente betrage Fr. 447.- und damit mehr als 20 % der entsprechenden Vollrente, so dass keine Wahl zwischen einmaliger Abfindung und monatlicher Rente bestehe, sondern die monatliche Rente auszurichten sei. Allerdings sei die einmalige Altersrente in der Höhe von Fr. 50'810.- bereits auf sein Konto überwiesen worden. Die Vorinstanz forderte den Beschwerdeführer auf, ihr den Betrag von Fr. 40'082.- (einmalige Abfindung von Fr. 50'810.- abzüglich Fr. 10'728 [Summe der Renten zwischen März 2015 und Februar 2017, 24 x Fr. 447.-]) bis zum 30. März 2017 zu überweisen. Sobald der Betrag überwiesen worden sei, werde eine Einspracheverfügung über die monatliche Altersrente erlassen, welche sofort ausbezahlt werde. Dem Beschwerdeführer wurde die Möglichkeit eingeräumt, sich bis zum 30. März 2017 zu diesem Vorgehen zu äussern. Mit Schreiben vom 27. März 2017 (Vorakten 46/3) informierte der Beschwerdeführer die Vorinstanz darüber, dass er den Betrag von Fr. 40'082.- nicht zurückzahlen könne, da er dieses Geld bereits investiert bzw. ausgegeben habe. Die Vorinstanz erliess am 27. Juni 2017 einen Einspracheentscheid (Vorakten 54), welcher vorliegend vor Bundverwaltungsgericht angefochten ist.</w:t>
      </w:r>
    </w:p>
    <w:p>
      <w:r>
        <w:rPr>
          <w:b/>
        </w:rPr>
        <w:t>E. 5.2</w:t>
      </w:r>
    </w:p>
    <w:p>
      <w:r>
        <w:t>Es folgt die Würdigung des Schriftstücks vom 12. Januar 2017 (Vorakten 41).</w:t>
      </w:r>
    </w:p>
    <w:p>
      <w:r>
        <w:rPr>
          <w:b/>
        </w:rPr>
        <w:t>E. 5.2.1</w:t>
      </w:r>
    </w:p>
    <w:p>
      <w:r>
        <w:t>Das Schreiben vom 12. Januar 2017 (Vorakten 41) beinhaltet eine individuell-konkrete Anordnung der SAK gestützt auf Bundesrecht und ist damit als Verfügung im Sinne von Art. 5 VwVG zu betrachten, auch wenn es nicht als solche bezeichnet wurde und auch keine Rechtsmittelbelehrung enthält (vgl. zum Verfügungsbegriff: Felix Uhlmann, in: Waldmann/Weissenberger [Hrsg.], Praxiskommentar VwVG, 2. Aufl., Zürich 2016, Art. 5).</w:t>
      </w:r>
    </w:p>
    <w:p>
      <w:r>
        <w:rPr>
          <w:b/>
        </w:rPr>
        <w:t>E. 5.2.2</w:t>
      </w:r>
    </w:p>
    <w:p>
      <w:r>
        <w:t>In dieser Verfügung vom 12. Januar 2017 hält die Vorinstanz fest, dass die einmalige Abfindung zu Unrecht ausgerichtet worden sei, ohne die Verfügung vom 29. August 2016 aufzuheben, vielmehr stellte sie erst in Aussicht, einen diesen ersetzenden Einspracheentscheid zu erlassen, sobald die einmalige Abfindung im zu Unrecht bezogenen Umfang von Fr. 40'082.- zurückbezahlt worden sei. In derselben Verfügung vom 12. Januar 2017 forderte die Vorinstanz den Beschwerdeführer zudem auf, diesen Betrag bis zum 30. März 2017 zurückzubezahlen. Mit Verfügung vom 12. Januar 2017 leitete die Vorinstanz damit Schritt 1 und 2 eines Rückerstattungsverfahrens ein, was grundsätzlich zulässig ist (vgl. E. 4.2 hiervor). Jedoch schloss sie diese beiden Schritte mit Einspracheentscheid vom 27. Juni 2017 ab, ohne sich zu den Vorbringen des Beschwerdeführers vom 27. März 2017 (Vorakten 46) zu äussern, womit sie das rechtliche Gehör verletzt hat (vgl. E. 5.3 hiernach).</w:t>
      </w:r>
    </w:p>
    <w:p>
      <w:r>
        <w:rPr>
          <w:b/>
        </w:rPr>
        <w:t>E. 5.2.3</w:t>
      </w:r>
    </w:p>
    <w:p>
      <w:r>
        <w:t>Indem die Vorinstanz dem Beschwerdeführer in der Verfügung vom 12. Januar 2017 zudem die Möglichkeit einräumte, sich bis zum 30. März 2017 zum Vorgehen zu äussern, leitete sie ansatzweise auch Schritt 3 eines Rückerstattungsverfahrens ein. Dabei versäumte sie, dem Beschwerdeführer unter Beilegung des entsprechenden Formulars, explizit mitzuteilen, dass die Möglichkeit besteht, mittels schriftlichem Gesuch den Erlass der Rückerstattung zu beantragen (Art. 3 Abs. 2 ATSV). Der Beschwerdeführer brachte mit Brief vom 27. März 2017 (Vorakten 46/3) vor, er könne den Betrag in der Höhe von Fr. 40'082.- nicht zurückbezahlen, womit er implizit den Erlass der Rückforderung beantragte und geltend machte, dass eine grosse Härte vorliege. Die Vorinstanz ging auf das Schreiben vom 27. März 2017 nicht ein, sondern nahm im Einspracheentscheid vom 27. Juni 2017 eine Verrechnung der einmaligen Abfindung in der Höhe von Fr. 50'810.- mit den aufgelaufenen monatlichen Renten bis Juli 2017 im Umfang von Fr. 38'294 vor, womit sie implizit, ohne jegliche Begründung, den Antrag des Beschwerdeführers um Erlass abwies und damit das rechtliche Gehör verletzte (vgl. E. 5.3 hiernach).</w:t>
      </w:r>
    </w:p>
    <w:p>
      <w:r>
        <w:rPr>
          <w:b/>
        </w:rPr>
        <w:t>E. 5.2.4</w:t>
      </w:r>
    </w:p>
    <w:p>
      <w:r>
        <w:t>Aus dem Gesagten ergibt sich, dass die Vorinstanz in einer einzigen Verfügung vom 12. Januar 2017 die drei Schritte eines Rückerstattungsverfahrens einleiten und mit Einspracheentscheid vom 27. Juni 2017 gleichzeitig abschliessen wollte, was bundesrechtswidrig ist.</w:t>
      </w:r>
    </w:p>
    <w:p>
      <w:r>
        <w:rPr>
          <w:b/>
        </w:rPr>
        <w:t>E. 5.3.1</w:t>
      </w:r>
    </w:p>
    <w:p>
      <w:r>
        <w:t>Gemäss Art. 29 Abs. 2 BV (SR 101) und Art. 42 ATSG haben die Parteien Anspruch auf rechtliches Gehör. Dieses dient einerseits der Sachaufklärung, andererseits stellt es ein persönlichkeitsbezogenes Mitwirkungsrecht beim Erlass eines Entscheides dar. Das Recht, angehört zu werden, ist formeller Natur: Seine Verletzung führt demnach ungeachtet der Erfolgs-aussichten der Beschwerde (grundsätzlich) zur Aufhebung der angefochtenen Verfügung (vgl. BGE 132 V 387 E. 5.1). Bei Missachtung formeller Verfahrensgarantien bildet die Kassation des vorinstanzlichen Entscheids die Regel, zumal der Rechtsunterworfene grundsätzlich Anspruch auf die Einhaltung des Instanzenzuges hat (vgl. Urteil des Bundesgerichts 9C_136/2009 vom 10. August 2009 E. 2.4.2 m.H.). Allerdings ist eine Heilung einer nicht besonders schwerwiegenden Verletzung des rechtlichen Gehörs, möglich, wenn die betroffene Person die Möglichkeit erhält, sich vor einer Beschwerdeinstanz zu äussern, welche bezüglich des Sachverhalts und der Rechtslage über dieselbe Kognition verfügt wie die Vorinstanz (vgl. BGE 133 I 201 E. 2.3; BGE 127 V 431 E. 3d/aa).</w:t>
      </w:r>
    </w:p>
    <w:p>
      <w:r>
        <w:rPr>
          <w:b/>
        </w:rPr>
        <w:t>E. 5.3.2</w:t>
      </w:r>
    </w:p>
    <w:p>
      <w:r>
        <w:t>Die Gehörsverletzung durch die Vorinstanz (vgl. E. 5.2.2. und E. 5.2.3 hiervor) wiegt vorliegend schwer und kann nicht geheilt werden, da die Vor-instanz den Beschwerdeführer nicht auf die Möglichkeit eines Erlassgesuches aufmerksam machte, sich nicht zu seinem Vorbringen der grossen Härte äusserte und zudem die Unrechtmässigkeit und Rückerstattung im Einspracheentscheid verfügte, ohne dies zu begründen.</w:t>
      </w:r>
    </w:p>
    <w:p>
      <w:r>
        <w:rPr>
          <w:b/>
        </w:rPr>
        <w:t>E. 5.4</w:t>
      </w:r>
    </w:p>
    <w:p>
      <w:r>
        <w:t>Hinzukommt, dass die vorgenommene Verrechnung nicht bundesrechtskonform ist. Die ursprünglichen Verfügungen vom 29. August 2016 (Vorakten 21) und vom 12. Januar 2017 (Vorakten 41) wurden nicht rechtskräftig, da der sie ersetzende Einspracheentscheid vom 27. Juni 2017 (Vorakten 54, BVGer act. 1/1) vorliegend beim Bundesverwaltungsgericht angefochten wurde, weshalb die Forderungen noch nicht verrechenbar waren (vgl. Art. 39 lit. a VwvG). Zudem hat die Vorinstanz das betreibungsrechtliche Existenzminimum des Beschwerdeführers nicht berücksichtigt, was bundesrechtswidrig ist.</w:t>
      </w:r>
    </w:p>
    <w:p>
      <w:r>
        <w:rPr>
          <w:b/>
        </w:rPr>
        <w:t>E. 5.5</w:t>
      </w:r>
    </w:p>
    <w:p>
      <w:r>
        <w:t>Aus den genannten Gründen erweist sich das vorinstanzliche Vorgehen als nicht bundesrechtskonform, womit der Einspracheentscheid vom 27. Juni 2017 aufzuheben ist. Die vorliegende Streitsache ist an die Vorinstanz zurückzuweisen, damit diese ein rechtskonformes Verwaltungsverfahren durchführt und insbesondere dem Beschwerdeführer nach Rechtskraft des vorliegenden Urteils die Möglichkeit einräumt, ein Erlassgesuch zu stellen. Nach Eingang desselben hat sie dieses zu beurteilen. Falls die Voraussetzungen für den Erlass der Rückerstattung nicht erfüllt sein sollten, hat die Vorinstanz die hinsichtlich des betreibungsrechtlichen Existenzminimums des Beschwerdeführers erforderlichen Abklärungen vorzunehmen und danach neu über eine allfällige Verrechnung zu verfügen.</w:t>
      </w:r>
    </w:p>
    <w:p>
      <w:r>
        <w:rPr>
          <w:b/>
        </w:rPr>
        <w:t>E. 6</w:t>
      </w:r>
    </w:p>
    <w:p>
      <w:r>
        <w:t>Zu befinden bleibt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Eine Rückweisung gilt praxisgemäss als Obsiegen der Beschwerde führenden Partei (vgl. BGE 137 V 57 E. 2.1 m.H.). Da dem obsiegenden Beschwerdeführer, keine unverhältnismässig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