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C-5230/2013 vom 25. September 2013</w:t>
      </w:r>
    </w:p>
    <w:p>
      <w:r>
        <w:t>Bundesverwaltungsgericht, 2013-09-25, FR</w:t>
      </w:r>
    </w:p>
    <w:p>
      <w:r>
        <w:rPr>
          <w:b/>
        </w:rPr>
        <w:t xml:space="preserve">Quelle: </w:t>
      </w:r>
      <w:r>
        <w:t>https://mcp.opencaselaw.ch/entscheid/bvger_C-5230_2013</w:t>
      </w:r>
    </w:p>
    <w:p>
      <w:r>
        <w:t>FR: TAF C-5230/2013 du 25 septembre 2013</w:t>
      </w:r>
    </w:p>
    <w:p>
      <w:r>
        <w:t>IT: TAF C-5230/2013 del 25 settembre 2013</w:t>
      </w:r>
    </w:p>
    <w:p>
      <w:pPr>
        <w:pStyle w:val="Heading2"/>
      </w:pPr>
      <w:r>
        <w:t>Regeste</w:t>
      </w:r>
    </w:p>
    <w:p>
      <w:r>
        <w:t>Droit à la rente</w:t>
      </w:r>
    </w:p>
    <w:p>
      <w:pPr>
        <w:pStyle w:val="Heading2"/>
      </w:pPr>
      <w:r>
        <w:t>Erwägungen</w:t>
      </w:r>
    </w:p>
    <w:p>
      <w:r>
        <w:rPr>
          <w:b/>
        </w:rPr>
        <w:t>E. 2.1</w:t>
      </w:r>
    </w:p>
    <w:p>
      <w:r>
        <w:t>En l'occurrence, force est de constater qu'aucune décision n'a encore été rendue par l'OAIE dans la présente affaire. Or, tant que cette autorité ne s'est pas prononcée dans la présente affaire, l'assuré ne peut se prévaloir d'un acte susceptible de recours auprès du Tribunal de céans (cf. notamment art. 31 et 33 lettre i LTAF et consid. 2.2 ci-après), étant précisé que, jusqu'à ce jour, rien au dossier ne laisse supposer que cet office aurait commis un déni de justice pour retard injustifié en l'espèce (cf. à ce sujet arrêt du Tribunal administratif fédéral C-5204/2012 du 5 octobre 2012 consid. 3 s. et les références citées). En effet, selon les informations données par l'administration fédérale, celle-ci a reçu le dossier de la part de l'OAI JU dans le courant d'août 2013 seulement (cf. pce TAF 2) et attend toujours que l'assuré lui communique ses relevés bancaires ainsi que des informations quand au cursus scolaire de ses filles pour prononcer une décision d'octroi de rente (cf. note interne du 20 septembre 2013 [pce TAF 2]).</w:t>
      </w:r>
    </w:p>
    <w:p>
      <w:r>
        <w:rPr>
          <w:b/>
        </w:rPr>
        <w:t>E. 2.2</w:t>
      </w:r>
    </w:p>
    <w:p>
      <w:r>
        <w:t>Il n'est également pas possible de retenir que l'écriture de l'assuré du 17 septembre 2013 serait un recours prématuré dont le principe de l'interdiction du formalisme excessif empêcherait la présente instance de déclarer celui-ci irrecevable. En effet, étant donné que l'OAIE dispose d'un véritable pouvoir décisionnel et que les projets de décision de la part des Offices AI cantonaux doivent être considérés comme de simples propositions à l'intention de cette autorité (cf. supra consid. 1.3), on voit mal comment il serait en l'espèce admissible de recourir, même prématurément, contre une décision qui n'a pas été rendue et dont le contenu aussi bien que le dispositif sont inconnus. En réalité, le dépôt d'un recours pour le cas où la décision à rendre serait négative, s'apparente à un recours conditionnel qui, comme tel, est irrecevable (arrêt du Tribunal fédéral U 407/99 du 6 avril 2000 consid. 2c). Tel est le cas in casu.</w:t>
      </w:r>
    </w:p>
    <w:p>
      <w:r>
        <w:rPr>
          <w:b/>
        </w:rPr>
        <w:t>E. 3</w:t>
      </w:r>
    </w:p>
    <w:p>
      <w:r>
        <w:t>Il incombe donc à l'intéressé d'attendre que l'OAIE lui notifie la décision en cause avant d'interjeter un recours auprès du Tribunal administratif fédéral.</w:t>
      </w:r>
    </w:p>
    <w:p>
      <w:r>
        <w:rPr>
          <w:b/>
        </w:rPr>
        <w:t>E. 4</w:t>
      </w:r>
    </w:p>
    <w:p>
      <w:r>
        <w:t>Sur le vu de ce qui précède, il convient donc de ne pas entrer en matière sur l'écriture de l'assuré du 17 septembre 2013 dans une procédure à juge unique (art. 23 al. 1 let. b LTAF). L'écriture précitée et ses annexes (à savoir deux certificats médicaux datés du 6 septembre 2013) sont envoyés à l'OAIE pour compétence.</w:t>
      </w:r>
    </w:p>
    <w:p>
      <w:r>
        <w:rPr>
          <w:b/>
        </w:rPr>
        <w:t>E. 5</w:t>
      </w:r>
    </w:p>
    <w:p>
      <w:r>
        <w:t>Il n'est pas perçu de frais (art. 63 al. 1 dernière phrase de la loi fédérale du 20 décembre 1968 sur la procédure administrative [PA, RS 172.021] en relation avec l'art. 6 let. b du Règlement du 21 février 2008 concernant les frais, dépens et indemnités fixés par le Tribunal administratif fédéral [FITAF, RS 173.320.2]) ni alloué de dépens (art. 64 en relation avec les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