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C-5226/2019 vom 17. März 2021</w:t>
      </w:r>
    </w:p>
    <w:p>
      <w:r>
        <w:t>Bundesverwaltungsgericht, 2021-03-17, DE</w:t>
      </w:r>
    </w:p>
    <w:p>
      <w:r>
        <w:rPr>
          <w:b/>
        </w:rPr>
        <w:t xml:space="preserve">Quelle: </w:t>
      </w:r>
      <w:r>
        <w:t>https://mcp.opencaselaw.ch/entscheid/bvger_C-5226_2019</w:t>
      </w:r>
    </w:p>
    <w:p>
      <w:r>
        <w:t>FR: TAF C-5226/2019 du 17 mars 2021</w:t>
      </w:r>
    </w:p>
    <w:p>
      <w:r>
        <w:t>IT: TAF C-5226/2019 del 17 marzo 2021</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Gemäss Art. 46 Abs. 1 Bst. a VwVG ist die Beschwerde gegen selbständig eröffnete Zwischenverfügungen zulässig, wenn sie einen nicht wiedergutzumachenden Nachteil bewirken können. Gemäss bundesgerichtlicher Rechtsprechung besteht bei der Anordnung, eine Expertise einzuholen, für das erstinstanzliche Beschwerdeverfahren ein nicht wiedergutzumachender Nachteil (BGE 137 V 210 E. 3.4.2.7 mit weiteren Hinweisen). Die Beschwerde gegen die Zwischenverfügung vom 27. September 2019 (act. 348) ist daher grundsätzlich zulässig.</w:t>
      </w:r>
    </w:p>
    <w:p>
      <w:r>
        <w:rPr>
          <w:b/>
        </w:rPr>
        <w:t>E. 1.4</w:t>
      </w:r>
    </w:p>
    <w:p>
      <w:r>
        <w:t>Als direkter Adressat ist der Beschwerdeführer, welcher am vorinstanzlichen Verfahren teilgenommen hat, von der angefochtenen Zwischenverfügung vom 27. September 2019 (act. 348) berührt und kann sich auf ein schutzwürdiges Interesse an deren Aufhebung oder Änderung berufen (Art. 59 ATSG; Art. 48 Abs. 1 VwVG). Zusammenfassend ergibt sich, dass der Beschwerdeführer beschwerdelegitimiert und auf die frist- und formgerecht eingereichte Beschwerde (Art. 60 ATSG; Art. 50 Abs. 1 und Art. 52 Abs. 1 sowie Art. 63 Abs. 4 VwVG) einzutreten ist.</w:t>
      </w:r>
    </w:p>
    <w:p>
      <w:r>
        <w:rPr>
          <w:b/>
        </w:rPr>
        <w:t>E. 1.5</w:t>
      </w:r>
    </w:p>
    <w:p>
      <w:r>
        <w:t>Anfechtungsobjekt und damit Begrenzung des Streitgegenstandes des vorliegenden Beschwerdeverfahrens (vgl. BGE 131 V 164 E. 2.1) bildet die Zwischenverfügung vom 27. September 2019 (act. 348), mit welcher die Vorinstanz an der medizinischen (interdisziplinären) Abklärung in der Schweiz festgehalten hat. Streitig und zu prüfen ist die Rechtmässigkeit dieses Zwischenentscheids.</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2.1</w:t>
      </w:r>
    </w:p>
    <w:p>
      <w:r>
        <w:t>Der Beschwerdeführer ist deutscher und polnischer Staatsangehöriger und hielt sich zur Zeit des Erlasses der angefochtenen Zwischenverfügung vom 27. September 2019 (act. 348) in Französisch-Guayana auf (act. 350 und 351).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Zwischenverfügung vom 27. September 2019 in Kraft standen; weiter aber auch solche, die dann bereits ausser Kraft getreten waren, die aber für die Beurteilung allenfalls früher entstandener Leistungsansprüche von Belang sind. Tatsachen, die jenen Sachverhalt seither verändert haben, sind im Normalfall Gegenstand einer neuen Verwaltungsverfügung (BGE 121 V 362 E. 1b).</w:t>
      </w:r>
    </w:p>
    <w:p>
      <w:r>
        <w:rPr>
          <w:b/>
        </w:rPr>
        <w:t>E. 3.1</w:t>
      </w:r>
    </w:p>
    <w:p>
      <w:r>
        <w:t>Mit Urteil C-6281/2015 vom 11. Juli 2017 hiess das Bundesverwaltungsgericht die damalige Beschwerde des Beschwerdeführers vom 5. Oktober 2015 insoweit gut, als die rentenabweisende Verfügung vom 14. September 2015 (act. 65) aufgehoben und die Sache an die Vorinstanz zurückgewiesen wurde, damit diese nach erfolgten Abklärungen im Sinne der Erwägung 5.5 über den Leistungsanspruch neu verfüge (act. 89). In dieser Erwägung hielt das Bundesverwaltungsgericht fest, dass sich die Beurteilung der gesundheitlichen Beschwerden des Beschwerdeführers als ungenügend und unvollständig erweise, weshalb die Sache zu weiteren Abklärungen (unter Wahrung der in BGE 137 V 210 festgehaltenen Mitwirkungsrechte) und zu neuem Entscheid an die Vorinstanz zurückzuweisen sei. Aufgrund der Aktenlage erweise sich die Durchführung einer polydisziplinären Begutachtung in der Schweiz, mindestens in den Fachbereichen Psychiatrie, Innere Medizin, Orthopädie, Otorhinolaryngologie und Augenheilkunde (vgl. zur Wahl der Fachrichtungen: BGE 139 V 349 E. 3.3), als erforderlich. Zuvor sei der Beschwerdeführer unter Hinweis auf die Folgen einer Verletzung der Mitwirkungspflicht - d.h. der vorübergehenden oder dauernden Kürzung oder Einstellung der Leistungen gemäss Art. 21 Abs. 4 ATSG - zur Durchführung eines ärztlich begleiteten Drogenentzugs aufzufordern (vgl. Urteile des BVGer C-5905/2009 vom 7. Juli 2011 E. 6; C-2922/2008 vom 14. Juni 2010 E. 5). Da erstmalig eingehende polydisziplinäre Abklärungen zu treffen seien und die Sachverhaltsabklärung in erster Linie auf der Stufe des Administrativverfahrens zu erfolgen habe (vgl. Art. 43 Abs. 1 ATSG), spreche die bundesgerichtliche Praxis nicht gegen eine Begutachtung des Beschwerdeführers in einer Medizinischen Abklärungsstelle (BGE 137 V 210 E. 4.4.1.4).</w:t>
      </w:r>
    </w:p>
    <w:p>
      <w:r>
        <w:rPr>
          <w:b/>
        </w:rPr>
        <w:t>E. 3.2</w:t>
      </w:r>
    </w:p>
    <w:p>
      <w:r>
        <w:t>Hinsichtlich des vorliegenden Verfahrens ergibt sich, dass das Bundesverwaltungsgericht mit der Rückweisung der Angelegenheit an die Vorinstanz grundsätzlich an seinen Entscheid C-6281/2015 vom 11. Juli 2017 gebunden ist und die Erwägung 5.5, auf welche im Dispositiv verwiesen wird, an der formellen Rechtskraft des Urteils C-6281/2015 vom 11. Juli 2017 teilnahm und - nebst dem Bundesverwaltungsgericht - auch für die Vorinstanz im Grundsatz verbindlich war bzw. ist (vgl. hierzu BGE 135 III 334 E. 2; Urteile des BGer 8C_680/2015 vom 14. Dezember 2015 E. 4.1 und 4.3.3 und 8C_720/2015 vom 12. April 2016 E. 3). Damit kann es vorliegend jedoch nicht sein Bewenden haben, wie nachfolgend aufzuzeigen ist.</w:t>
      </w:r>
    </w:p>
    <w:p>
      <w:r>
        <w:rPr>
          <w:b/>
        </w:rPr>
        <w:t>E. 4.1</w:t>
      </w:r>
    </w:p>
    <w:p>
      <w:r>
        <w:t>In der vorliegend angefochtenen Verfügung vom 27. September 2019 bekräftigte die Vorinstanz einzig das Festhalten an der Durchführung einer medizinischen Abklärung in der Schweiz, wobei der Beschwerdeführer auf seine Mitwirkungspflicht und die möglichen Rechtsfolgen bei einer Verletzung dieser Pflicht hingewiesen wurde. So wurde ihm mit Mahnschreiben vom 19. November 2018 unter Hinweis auf Art. 28 Abs. 2 ATSG und Art. 43 Abs. 2 und 3 ATSG sowie die Säumnisfolgen (Erlass einer beschwerdefähigen Verfügung) eine Frist von 30 Tagen ab Datum des Erhalts dieses Schreibens eingeräumt, um schriftlich zu bestätigen, dass er bereit sei, sich den notwendigen Untersuchungen zu unterziehen und hierfür nach Deutschland bzw. in die Schweiz zu kommen (act. 187). Nachdem die Vorinstanz dem Beschwerdeführer am 10. Januar 2019 unter Hinweis auf die Säumnisfolgen (Erlass einer beschwerdefähigen Verfügung) unter anderem mitgeteilt hatte, der Gesundheitszustand und die Arbeitsfähigkeit könne ausschliesslich im Rahmen einer mindestens bi-, womöglich gar polydisziplinären Untersuchung rechtsgenüglich geklärt werden, weshalb ihm eine letzte Frist bis zum 15. Februar 2019 gewährt werde, um auf den Brief vom 19. November 2018 zu antworten (act. 194 und 195), hielt die Vor-instanz im Rahmen des Schreibens vom 21. Februar 2019 an ihrer Auffassung gemäss den Schreiben vom 19. November 2018 und 10. Januar 2019 fest. Sie räumte dem Beschwerdeführer eine letzte Frist bis zum 15. März 2019 ein und stellte diesem - sollte er sich bis zu diesem Zeitpunkt in Bezug auf die Teilnahme an der Untersuchung und die entsprechende zeitliche Verfügbarkeit nicht vernehmen lassen - den Erlass einer beschwerdefähigen Verfügung infolge Beweislosigkeit in Aussicht (act. 197).</w:t>
      </w:r>
    </w:p>
    <w:p>
      <w:r>
        <w:rPr>
          <w:b/>
        </w:rPr>
        <w:t>E. 4.2</w:t>
      </w:r>
    </w:p>
    <w:p>
      <w:r>
        <w:t>Wie bereits dargelegt (vgl. E. 3.1 hiervor), ordnete das Bundesverwaltungsgericht im Urteil C-6281/2015 vom 11. Juli 2017 vor der interdisziplinären Begutachtung jedoch ausdrücklich - nach vorgängiger Aufforderung des Beschwerdeführers - auch die Durchführung eines ärztlich begleiteten Drogenentzugs an. Es ist deshalb nachfolgend in einem ersten Schritt zu prüfen, ob der - vor der Begutachtung durchzuführende - ärztlich begleitete Drogenentzug weiterhin notwendig erscheint resp. die Vorinstanz zu Recht auf die Durchführung eines solchen verzichtet hat.</w:t>
      </w:r>
    </w:p>
    <w:p>
      <w:r>
        <w:rPr>
          <w:b/>
        </w:rPr>
        <w:t>E. 4.3.1</w:t>
      </w:r>
    </w:p>
    <w:p>
      <w:r>
        <w:t>Die materielle Rechtskraft bedeutet in positiver Hinsicht zwar, dass das Gericht in einem späteren Prozess an alles, was im Urteilsdispositiv des früheren Prozesses festgestellt wurde, gebunden ist (sog. Präjudizialitäts- oder Bindungswirkung; BGE 145 III 143 E. 5.1; zur materiellen Rechtskraft in negativer Hinsicht vgl. BGE 144 I 11 E. 4.2; 139 II 404 E. 8.2; 139 III 126 E. 3.1 und E. 3.2.3; 121 III 474 E. 2). Hat sich jedoch die Sach- oder Rechtslage seit dem ersten Urteil erheblich verändert, so steht einem neuen Entscheid die Wirkung der materiellen Rechtskraft nicht entgegen (vgl. hierzu BGE 140 III 278 E. 3.3, 139 III 126 E. 3.2.1 und E. 4.1, 125 III 241 E. 1d, je mit weiteren Hinweisen), denn die Rechtskraftwirkung - und damit die Verbindlichkeit - des Rückweisungsentscheides steht immer unter dem Vorbehalt, dass sich nicht aus dem Rückweisungsverfahren neue Tatsachen oder Beweismittel im Sinne der prozessualen Revision ergeben, welche dessen sachverhaltliche Grundlage zu erschüttern vermögen (vgl. hierzu Urteil des BGer 8C_680/2015 vom 14. Dezember 2015 E. 4.3.3 mit weiteren Hinweisen). Ein solcher Vorbehalt ist vorliegend anzubringen, wie nachfolgend zu zeigen ist.</w:t>
      </w:r>
    </w:p>
    <w:p>
      <w:r>
        <w:rPr>
          <w:b/>
        </w:rPr>
        <w:t>E. 4.3.2</w:t>
      </w:r>
    </w:p>
    <w:p>
      <w:r>
        <w:t>Einerseits führte Dr. med. E._______, Facharzt für Psychiatrie und Psychotherapie, vom IV-internen medizinischen Dienst in seiner Stellungnahme vom 19. September 2019 zwar aus, das Gutachten solle erst in Auftrag gegeben werden, wenn der Versicherte eine ärztlich begleitete Abstinenzbehandlung durchlaufen habe; vom behandelnden Arzt bzw. von der behandelnden Ärztin müsse ein entsprechendes Attest vorliegen (act. 343). Andererseits wies er in seiner früheren Beurteilung vom 17. Januar 2018 darauf hin, dass bisher einzig am 6. Dezember 2013 ein Cannabiskonsum nachgewiesen worden sei und der Verdacht auf den Konsum anderer Substanzen einzig auf der Anamnese beruhe, wobei das Vorliegen psychotischer Symptome die anamnestischen Angaben auch fragwürdig erscheinen liessen (act. 99). Diese Ausführungen sowie die rege Reisetätigkeit des Beschwerdeführers in den Jahren 2018 und 2019 sprechen gegen eine (schwere) Abhängigkeit des Beschwerdeführers von natürlichen, halbsynthetischen und/oder synthetischen Opioiden, zumal auch seine finanzielle Lage äusserst prekär ist. Hinzu kommt, dass sich hinsichtlich einer allfälligen Drogensucht keine aktuellen aussagekräftigen medizinischen Dokumente in den Akten befinden. Unter diesen Umständen und - hinzukommend - zufolge des Umstands, dass der Beschwerdeführer seit mehreren Jahren über keinen festen Wohnsitz mehr verfügt, kann auf den - vor der Begutachtung durchzuführenden - ärztlich begleiteten Drogenentzug entgegen des Urteils des Bundesverwaltungsgerichts C-6281/2015 vom 11. Juli 2017 (vorerst) verzichtet werden. Letztlich werden sich die Expertinnen und Experten echtzeitlich bzw. aktuell zur Frage nach einer allfälligen Drogensucht resp. zur Notwendigkeit der Durchführung eines ärztlich begleiteten Drogenentzugs zu äussern haben.</w:t>
      </w:r>
    </w:p>
    <w:p>
      <w:r>
        <w:rPr>
          <w:b/>
        </w:rPr>
        <w:t>E. 4.4</w:t>
      </w:r>
    </w:p>
    <w:p>
      <w:r>
        <w:t>Im Rahmen eines Zwischenergebnisses ergibt sich somit zusammenfassend, dass insbesondere aufgrund der Beurteilung von Dr. med. E._______ vom 17. Januar 2018 und der veralteten medizinischen Aktenlage sowie mit Blick auf die häufigen Wechsel des Aufenthaltsortes des Beschwerdeführers bzw. das Fehlen eines festen Wohnsitzes seit mehreren Jahren die ursprünglich gerichtlich angeordnete, vorgängige Durchführung eines ärztlich begleiteten Drogenentzugs im Zeitpunkt des vorliegenden Entscheids nicht (mehr) zielführend ist, weshalb diesbezüglich in Berücksichtigung der bundesgerichtlichen Rechtsprechung (vgl. E. 4.3.1 hiervor) von Erwägung E. 5.5 des Entscheids des Bundesverwaltungsgerichts C-6281/2015 vom 11. Juli 2017 insofern abgewichen werden kann, als vorerst auf die Durchführung eines ärztlich begleiteten Drogenentzugs zu verzichten ist.</w:t>
      </w:r>
    </w:p>
    <w:p>
      <w:r>
        <w:rPr>
          <w:b/>
        </w:rPr>
        <w:t>E. 5</w:t>
      </w:r>
    </w:p>
    <w:p>
      <w:r>
        <w:t>Nachfolgend ist weiter zu prüfen, ob sich mit Blick auf die gesamte medizinische Aktenlage an der Notwendigkeit einer interdisziplinären Begutachtung etwas geändert hat resp. ob Erwägung 5.5 des bundesverwaltungsgerichtlichen Urteils C-6281/2015 vom 11. Juli 2017 diesbezüglich weiterhin verbindlich ist. In diesem Zusammenhang sind nachfolgend vorab die diesbezüglich massgeblichen gesetzlichen Normen resp. Rechtsgrundsätze und die bundesgerichtliche Rechtsprechung zusammengefasst darzustellen.</w:t>
      </w:r>
    </w:p>
    <w:p>
      <w:r>
        <w:rPr>
          <w:b/>
        </w:rPr>
        <w:t>E. 5.1</w:t>
      </w:r>
    </w:p>
    <w:p>
      <w:r>
        <w:t>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5.2</w:t>
      </w:r>
    </w:p>
    <w:p>
      <w:r>
        <w:t>Ärztliche Auskünfte sind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5.3</w:t>
      </w:r>
    </w:p>
    <w:p>
      <w:r>
        <w:t>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w:t>
      </w:r>
    </w:p>
    <w:p>
      <w:r>
        <w:rPr>
          <w:b/>
        </w:rPr>
        <w:t>E. 5.4</w:t>
      </w:r>
    </w:p>
    <w:p>
      <w:r>
        <w:t>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und 135 V 465 E. 4.4).</w:t>
      </w:r>
    </w:p>
    <w:p>
      <w:r>
        <w:rPr>
          <w:b/>
        </w:rPr>
        <w:t>E. 5.5</w:t>
      </w:r>
    </w:p>
    <w:p>
      <w:r>
        <w:t>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5.6</w:t>
      </w:r>
    </w:p>
    <w:p>
      <w:r>
        <w:t>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5.7.1</w:t>
      </w:r>
    </w:p>
    <w:p>
      <w:r>
        <w:t>Dr. med. E._______, Facharzt für Psychiatrie und Psychotherapie, vom IV-internen medizinischen Dienst führte in seiner Stellungnahme vom 19. September 2019 aus, die vom Rechtsvertreter des Versicherten eingereichten Unterlagen seien entweder mehrere Jahre alt, oder es handle sich um Kurzberichte oder Rezepte, die nicht zur Klärung des Sachverhalts beitragen würden. Das vom Bundesverwaltungsgericht mit Urteil vom 11. Juli 2017 vorgeschriebene polydisziplinäre Gutachten erweise sich daher als unumgänglich (act. 343).</w:t>
      </w:r>
    </w:p>
    <w:p>
      <w:r>
        <w:rPr>
          <w:b/>
        </w:rPr>
        <w:t>E. 5.7.2</w:t>
      </w:r>
    </w:p>
    <w:p>
      <w:r>
        <w:t>Mit Blick auf diese Ausführungen kam Dr. med. E._______ seiner Aufgabe, aus medizinischer Sicht den medizinischen Sachverhalt zusammenzufassen und versicherungsmedizinisch zu würdigen, in nicht zu beanstandender Weise und somit rechtsgenüglich nach (vgl. hierzu SVR 2009 IV Nr. 50 [Urteil des BGer 8C_756/2008] E. 4.4 mit Hinweis; Urteil des BGer 9C_692/2014 vom 22. Januar 2015 E. 3.3). Zufolge des Entscheids des Bundesverwaltungsgerichts C-6281/2015 vom 11. Juli 2017 sowie der von Dr. med. E._______ abgegebenen, schlüssigen und überzeugenden Beurteilung, wonach die aktenkundigen medizinischen Akten veraltet oder nicht sachverhaltsklärend seien und die Anordnung einer zusätzlichen polydisziplinären Begutachtung in der Schweiz weiterhin zwingend notwendig sei (vgl. hierzu auch BGE 142 V 58 E. 5.1; vgl. zum Ganzen auch E. 4.2 bis 4.6 hiervor), führen die gegenteiligen Ausführungen des Rechtsvertreters des Beschwerdeführers ins Leere.</w:t>
      </w:r>
    </w:p>
    <w:p>
      <w:r>
        <w:rPr>
          <w:b/>
        </w:rPr>
        <w:t>E. 5.7.3</w:t>
      </w:r>
    </w:p>
    <w:p>
      <w:r>
        <w:t>Zu ergänzen ist, dass selbst bei Vorliegen von aktuellen, aussagekräftigeren ärztlichen Dokumenten nicht vorbehaltlos auf diese abgestellt werden könnte, da im vorliegenden Fall eine interdisziplinäre und fachübergreifende Beurteilung des Gesundheitszustandes und der Arbeitsfähigkeit des Beschwerdeführers notwendig ist und es insbesondere geboten erscheint, den Beschwerdeführer durch Gutachter und/oder Expertinnen eines geeigneten Begutachtungszentrums untersuchen zu lassen, die mit den Grundsätzen der schweizerischen Versicherungsmedizin vertraut sind (vgl. dazu Urteil des BGer 9C_235/2013 vom 10. September 2013 E. 3.2; Urteile des BVGer C-3864/2017 vom 11. März 2019 E. 7.5 mit Hinweisen und C-2158/2016 vom 15. Januar 2019 E. 3.5.1 mit Hinweis). Es ist offensichtlich, dass dieses Wissen und die entsprechende Erfahrung von ausländischen Ärztinnen und Ärzten nicht zu erwarten ist.</w:t>
      </w:r>
    </w:p>
    <w:p>
      <w:r>
        <w:rPr>
          <w:b/>
        </w:rPr>
        <w:t>E. 5.7.4</w:t>
      </w:r>
    </w:p>
    <w:p>
      <w:r>
        <w:t>Mit Blick auf Erwägung 5.5 des Urteils des Bundesverwaltungsgerichts C-6281/2015 vom 11. Juli 2017 nicht weiter von Relevanz ist der Umstand, dass die Vorinstanz in Abweichung dieser Erwägung und gestützt auf die Stellungnahme von Dr. med. E._______ vom 17. Januar 2018 (act. 99) am 2. Februar 2018 bloss die Einholung eines entsprechenden Gutachtens bei der Deutschen Rentenversicherung beabsichtigt hatte (act. 100 und 101), was sich jedoch ohnehin als erfolglos erwies (act. 155). Ebenfalls nichts zu seinen Gunsten ableiten kann der Beschwerdeführer aus dem Schreiben der Vorinstanz vom 11. Juli 2018 betreffend die nachgefragte neurologisch-psychiatrische Untersuchung (act. 171). Einerseits verwies jene auch auf die Umsetzung des Urteils des Bundesverwaltungsgerichts vom 11. Juli 2017, und andererseits wurde der Beschwerdeführer bereits vorausgehend am 3. Juli 2018 telefonisch über die Notwendigkeit der Durchführung einer polydisziplinären Untersuchung in der Schweiz informiert (act. 169).</w:t>
      </w:r>
    </w:p>
    <w:p>
      <w:r>
        <w:rPr>
          <w:b/>
        </w:rPr>
        <w:t>E. 5.7.5</w:t>
      </w:r>
    </w:p>
    <w:p>
      <w:r>
        <w:t>Weiter trifft es in Übereinstimmung mit der Vorinstanz zu, dass es eine vergebliche und kostspielige Organisation einer Begutachtung in der Schweiz nach Möglichkeit zu vermeiden gilt. Es spricht somit nichts gegen die Vorgehensweise der Vorinstanz im vorliegenden Verfahren, die Begutachtung erst dann definitiv organisieren zu wollen, wenn sich der Beschwerdeführer in grundsätzlicher Hinsicht unterschriftlich ernsthaft dazu verpflichtet hat. Unter diesen Umständen lässt sich nicht beanstanden, dass er mit den Mahnschreiben vom 19. November 2018 (act. 187), 10. Januar 2019 (act. 194) und letztmalig am 21. Februar 2019 (act. 197) unter Hinweis auf Art. 28 Abs. 2 ATSG und Art. 43 Abs. 2 und 3 ATSG aufgefordert wurde, seine Bereitschaft zur Teilnahme an der Begutachtung unterschriftlich zu bestätigen. Dass ihr dabei vorerst nicht genügt hatte, dass der Beschwerdeführer am 8. März 2019 telefonisch seine Bereitschaft zur medizinischen Abklärung in der Schweiz signalisiert (act. 199) und diese Bereitschaft am 2. April 2019 erneut bekräftigt hatte (act. 204), lässt sich mit Blick auf die häufigen Wechsel des Aufenthaltsortes des Beschwerdeführers resp. das derzeitige Fehlen eines festen Wohnsitzes sowie mit Blick auf den (späteren) materiellen Inhalt der Beschwerdeschrift nicht beanstanden.</w:t>
      </w:r>
    </w:p>
    <w:p>
      <w:r>
        <w:rPr>
          <w:b/>
        </w:rPr>
        <w:t>E. 6</w:t>
      </w:r>
    </w:p>
    <w:p>
      <w:r>
        <w:t>Mit Blick auf die beschwerdeweise gemachten Ausführungen des Beschwerdeführers, er könne aufgrund seines gesundheitlichen Zustands aus dem Ausland nicht zureisen, ergibt sich hinsichtlich der Reisefähigkeit resp. der Zumutbarkeit einer interdisziplinären Begutachtung in der Schweiz was folgt:</w:t>
      </w:r>
    </w:p>
    <w:p>
      <w:r>
        <w:rPr>
          <w:b/>
        </w:rPr>
        <w:t>E. 6.1</w:t>
      </w:r>
    </w:p>
    <w:p>
      <w:r>
        <w:t>Nachdem sich der Beschwerdeführer ab Februar 2018 in Uruguay aufgehalten hatte (act. 103 ff.), reiste er im Mai 2018 weiter nach Argentinien (act. 160 ff.). Nach weiteren Aufenthalten in Paraguay (ab Juli 2018; act. 172), Argentinien (ab Oktober 2018; act. 176, 189, 192), Brasilien (im März 2019; act. 199), Paraguay (im April 2019; act. 204 bis 206) und Brasilien (ab Mai 2019; act. 209 ff.) begab er sich in der Folge nach Französisch-Guayana, wo er sich seit August 2019 befindet (act. 342 ff.).</w:t>
      </w:r>
    </w:p>
    <w:p>
      <w:r>
        <w:rPr>
          <w:b/>
        </w:rPr>
        <w:t>E. 6.2</w:t>
      </w:r>
    </w:p>
    <w:p>
      <w:r>
        <w:t>Unter diesen Umständen resp. mit Blick auf die seit Februar 2018 vom Beschwerdeführer an den Tag gelegte, rege Reisetätigkeit wäre diesem - wie bereits im Rahmen der Zwischenverfügung des Bundesverwaltungsgerichts vom 16. Dezember 2019 erwogen (B-act. 8) - nach wie vor ohne weiteres zumutbar, in die Schweiz zur Durchführung der notwendigen polydisziplinären Begutachtung einzureisen. Daran vermögen die gegenteiligen, unglaubwürdigen Ausführungen des Rechtsvertreters anlässlich der Beschwerde nichts zu ändern, zumal der Beschwerdeführer - wie bereits vorstehend erwähnt (vgl. E. 5.7.5 hiervor) - selber noch im Rahmen der Anrufe vom 8. März und 2. April 2019 seine Bereitschaft zur medizinischen Abklärung in der Schweiz bekräftigt hatte (act. 199 und 204).</w:t>
      </w:r>
    </w:p>
    <w:p>
      <w:r>
        <w:rPr>
          <w:b/>
        </w:rPr>
        <w:t>E. 7.1</w:t>
      </w:r>
    </w:p>
    <w:p>
      <w:r>
        <w:t>Nach dem vorstehend Dargelegten ist zusammenfassend festzuhalten, dass zwar vor der Begutachtung kein ärztlich begleiteter Drogenentzug durchzuführen ist. Jedoch ist die Notwendigkeit einer polydisziplinären Begutachtung in der Schweiz nach wie vor gegeben, und die Reise in die Schweiz ist dem Beschwerdeführer, welcher vor Erlass der vorliegend angefochtenen Verfügung vom 27. September 2019 in nicht zu beanstandender Weise unter Hinweis auf Art. 43 Abs. 2 und 3 ATSG resp. mittels Durchführung des Mahn- und Bedenkzeitverfahrens schriftlich gemahnt und auf die Rechtsfolgen hingewiesen wurde, ohne weiteres zumutbar.</w:t>
      </w:r>
    </w:p>
    <w:p>
      <w:r>
        <w:rPr>
          <w:b/>
        </w:rPr>
        <w:t>E. 7.2</w:t>
      </w:r>
    </w:p>
    <w:p>
      <w:r>
        <w:t>Abschliessend ist darauf hinzuweisen, dass die Vorinstanz nach Anordnung der polydisziplinären Begutachtung in der Schweiz über die Modalitäten der Organisation der Reise, der Notwendigkeit einer (nicht medizinischen/medizinischen) Begleitperson und die Kostenübernahme für Flug, Übernachtungen, Betreuung und Begleitperson zu befinden hat (vgl. hierzu Urteile des BVGer C-2152/2013 vom 31. Januar 2014 und C-1615/2016 vom 21. November 2016). Weiter hat die Vorinstanz zur Durchsetzung dieser Begutachtung resp. von allfälligen weiteren Massnahmen die Erfüllung der dem Beschwerdeführer obliegenden Mitwirkungspflicht einzufordern und diesen bei allfälliger Renitenz - nach Durchführung des Mahn- und Bedenkzeitverfahrens im Sinn von Art. 43 Abs. 3 ATSG - mit Sanktionen zu belegen. In diesem Zusammenhang ist der Beschwerdeführer darauf hinzuweisen, dass die schuldhafte Verletzung der Mitwirkungspflicht eine Umkehr der Beweislast zur Folge hat (vgl. hierzu Urteile des BGer 8C_481/2013 vom 7. November 2013 E. 3.3 und 9C_94/2018 vom 4. März 2019 E. 2.2 mit Hinweisen).</w:t>
      </w:r>
    </w:p>
    <w:p>
      <w:r>
        <w:rPr>
          <w:b/>
        </w:rPr>
        <w:t>E. 8</w:t>
      </w:r>
    </w:p>
    <w:p>
      <w:r>
        <w:t>Aufgrund der vorstehenden Erwägungen erweist sich die angefochtene Zwischenverfügung der Vorinstanz vom 27. September 2019 als rechtens, weshalb die dagegen erhobene Beschwerde abzuweisen ist.</w:t>
      </w:r>
    </w:p>
    <w:p>
      <w:r>
        <w:rPr>
          <w:b/>
        </w:rPr>
        <w:t>E. 9</w:t>
      </w:r>
    </w:p>
    <w:p>
      <w:r>
        <w:t>Zu befinden bleibt noch über die Verfahrenskosten und eine allfällige Parteientschädigung.</w:t>
      </w:r>
    </w:p>
    <w:p>
      <w:r>
        <w:rPr>
          <w:b/>
        </w:rPr>
        <w:t>E. 9.1</w:t>
      </w:r>
    </w:p>
    <w:p>
      <w:r>
        <w:t>Gemäss Art. 69 Abs. 1bis IVG ist das Beschwerdeverfahren vor dem Bundesverwaltungsgericht in Streitigkeiten um die Bewilligung oder Verweigerung von IV-Leistungen kostenpflichtig. Da die Frage, ob eine interdisziplinäre Begutachtung in der Schweiz durchgeführt wird, Bestandteil des Verfahrens zur Beurteilung des Leistungsanspruchs des Beschwerdeführers bildet, ist das Beschwerdeverfahren kostenpflichtig. Die Verfahrenskosten wären bei diesem Verfahrensausgang grundsätzlich dem Beschwerdeführer aufzuerlegen (Art. 63 Abs. 1 VwVG). Da ihm jedoch das Recht auf unentgeltliche Prozessführung gewährt worden ist, ist auf die Erhebung von Verfahrenskosten zu verzichten.</w:t>
      </w:r>
    </w:p>
    <w:p>
      <w:r>
        <w:rPr>
          <w:b/>
        </w:rPr>
        <w:t>E. 9.2</w:t>
      </w:r>
    </w:p>
    <w:p>
      <w:r>
        <w:t>Der Rechtsvertreter des Beschwerdeführers hat zufolge Gewährung des Rechts auf unentgeltliche Verbeiständung einen Anspruch auf eine Entschädigung aus der Gerichtskasse.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angemessen (inklusive 7.7%iger Mehrwertsteuer [seit 1. Januar 2018; vgl. Art. 25 Abs. 1 des Bundesgesetzes über die Mehrwertsteuer vom 12. Juni 2009 {MWSTG; SR 641.20}]; zur Berücksichtigung der Mehrwertsteuer bei der Entschädigung des unentgeltlichen Rechtsbeistands vgl. BGE 141 III 560 E. 2. und 3.).</w:t>
      </w:r>
    </w:p>
    <w:p>
      <w:r>
        <w:rPr>
          <w:b/>
        </w:rPr>
        <w:t>E. 9.3</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