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C-5223/2013 vom 22. Februar 2017</w:t>
      </w:r>
    </w:p>
    <w:p>
      <w:r>
        <w:t>Bundesverwaltungsgericht, 2017-02-22, FR</w:t>
      </w:r>
    </w:p>
    <w:p>
      <w:r>
        <w:rPr>
          <w:b/>
        </w:rPr>
        <w:t xml:space="preserve">Quelle: </w:t>
      </w:r>
      <w:r>
        <w:t>https://mcp.opencaselaw.ch/entscheid/bvger_C-5223_2013</w:t>
      </w:r>
    </w:p>
    <w:p>
      <w:r>
        <w:t>FR: TAF C-5223/2013 du 22 février 2017</w:t>
      </w:r>
    </w:p>
    <w:p>
      <w:r>
        <w:t>IT: TAF C-5223/2013 del 22 febbraio 2017</w:t>
      </w:r>
    </w:p>
    <w:p>
      <w:pPr>
        <w:pStyle w:val="Heading2"/>
      </w:pPr>
      <w:r>
        <w:t>Regeste</w:t>
      </w:r>
    </w:p>
    <w:p>
      <w:r>
        <w:t>Droit à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En l'espèce, interjeté en temps utile et dans les formes légales auprès de l'autorité judiciaire compétente par un administré directement touché par la décision attaquée (art. 59 et 60 LPGA et 52 PA), le recours est recevable.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Au niveau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portant sur la coordination des systèmes de sécurité sociale (RS 0.831.109.268.11; cf. arrêt du Tribunal fédéral 8C_455/2011 du 4 mai 2012, consid. 2.1 ; arrêt du Tribunal fédéral 8C_870/2012 du 8 juillet 2013, consid. 2.2). Conformément à l'art. 4 du règlement (CE) n° 883/2009,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suisse sont déterminées exclusivement d'après le droit suisse (art. 8 ALCP ; ATF 130 V 257, consid. 2.4).</w:t>
      </w:r>
    </w:p>
    <w:p>
      <w:r>
        <w:rPr>
          <w:b/>
        </w:rPr>
        <w:t>E. 2.3</w:t>
      </w:r>
    </w:p>
    <w:p>
      <w:r>
        <w:t>En l'occurrence, le recourant est un ressortissant portugais résidant au Portugal soit dans un Etat membre de l'Union européenne (pce OAIE 8). La décision attaquée ayant été rendue le 3 septembre 2013, les dispositions légales de droit suisse en vigueur à cette date sont applicables y compris les modifications consécutives à la 6ème révision de la LAI, entrées en vigueur le 1er janvier 2012. Par ailleurs, les éléments de fait survenus postérieurement au 3 septembre 2013 ne doivent pas être pris en considération par le Tribunal de céans, sauf s'ils permettent une meilleure compréhension de l'état de santé du recourant antérieur à la décision attaquée (cf. ATF 130 V 445, consid. 1.2.1 ; voir notamment arrêt du Tribunal administratif fédéral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Dans le cas d'espèce, le recourant a eu un premier accident en 1991 lui causant des atteintes à la main, lesquels lui ont ouvert un droit à une rente AI par décision du 16 novembre 1994 qui fut, par la suite, supprimée par décision du 23 février 1997 dans le cadre d'une procédure de révision de dite rente (cf. pce OAIE 83). La présente affaire se fonde toutefois sur un état de fait différent puisque le recourant a présenté, en 2009, une nouvelle demande de prestations fondée sur une autre atteinte à la santé, à savoir un accident de la circulation (cf. pce OAIE 102). Dès lors, la question litigieuse est le bien-fondé de la décision du 3 septembre 2013, par laquelle l'OAIE a rejeté la demande du recourant datée du 27 mars 2009 et tendant à l'obtention de prestations de l'assurance-invalidité (pce OAIE 102).</w:t>
      </w:r>
    </w:p>
    <w:p>
      <w:r>
        <w:rPr>
          <w:b/>
        </w:rPr>
        <w:t>E. 4.1</w:t>
      </w:r>
    </w:p>
    <w:p>
      <w:r>
        <w:t>Selon les normes applicables, tout requérant, pour avoir droit à une rente de l'assurance-invalidité suisse, doit remplir cumulativement les conditions suivantes : être invalide au sens de la LPGA et de la LAI (art. 8 LPGA ; art. 4, 28 et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(CE) n° 883/2004).</w:t>
      </w:r>
    </w:p>
    <w:p>
      <w:r>
        <w:rPr>
          <w:b/>
        </w:rPr>
        <w:t>E. 4.2</w:t>
      </w:r>
    </w:p>
    <w:p>
      <w:r>
        <w:t>In casu, le recourant a versé des cotisations à l'AVS/AI pendant plus de trois ans (cf. annexe pce TAF 18) et remplit donc la condition de la durée minimale de cotisations. Il reste dès lors à examiner s'il est invalide au sens de la LAI.</w:t>
      </w:r>
    </w:p>
    <w:p>
      <w:r>
        <w:rPr>
          <w:b/>
        </w:rPr>
        <w:t>E. 5.1</w:t>
      </w:r>
    </w:p>
    <w:p>
      <w:r>
        <w:t>Selon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 au moins. Une incapacité de travail de 20% doit être prise en compte pour le calcul de l'incapacité de travail moyenne selon la let. b de l'art. 28 al. 1 LAI (Jurisprudence et pratique administrative des autorités d'exécution de l'AVS/AI [VSI] 1998 p. 126 consid. 3c).</w:t>
      </w:r>
    </w:p>
    <w:p>
      <w:r>
        <w:rPr>
          <w:b/>
        </w:rPr>
        <w:t>E. 5.2</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w:t>
      </w:r>
    </w:p>
    <w:p>
      <w:r>
        <w:rPr>
          <w:b/>
        </w:rPr>
        <w:t>E. 6.3</w:t>
      </w:r>
    </w:p>
    <w:p>
      <w:r>
        <w:t>L'office de l'assurance-invalidité, afin que soient vérifiées les conditions médicales du droit aux prestations, soumet les pièces nécessaires au service médical régional compétent (ci-après : SMR ; cf. art. 49 al. 1 et 69 al. 2 RAI), lequel remet à l'office de l'assurance-invalidité un rapport écrit. Un tel rapport ne constitue pas un examen médical sur la personne de l'assuré au sens de l'art. 49 al. 2 RAI, mais un rapport au sens de l'art. 49 al. 3 RAI. Il a de ce fait une autre fonction que les expertises médicales au sens de l'art. 44 LPGA et ne doit pas remplir les mêmes exigences au niveau de son contenu.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TF 9C_581/2007 du 14 juillet 2008 consid. 3.2 et 9C_341/2007 du 16 novembre 2007 consid. 4.1). Quant aux rapports d'examen réalisés par le SMR selon l'art. 49 al. 2 RAI, ils ne sont pas non plus des expertises au sens de l'art. 44 LPGA et ne sont pas soumis aux mêmes exigences formelles (ATF 135 V 254 consid. 3.4). Pour autant, leur valeur probatoire est comparable à celle des expertises, dans la mesure où ils satisfont aux exigences, définies par la jurisprudence, qui sont posées à une expertise médicale (arrêts du TF 9C_104/2010 du 27 juillet 2010 consid. 3.2.1 et 9C_204/2009 du 6 juillet 2009 consid. 3.3.2 et les références citées [passage non publié in ATF 135 V 254]).</w:t>
      </w:r>
    </w:p>
    <w:p>
      <w:r>
        <w:rPr>
          <w:b/>
        </w:rPr>
        <w:t>E. 6.4</w:t>
      </w:r>
    </w:p>
    <w:p>
      <w:r>
        <w:t>Il est à relever qu'en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351 consid. 3a ; ATF 122 V 160 consid. 1c et les références). Cette réserve s'applique également aux rapports médicaux que l'intéressé sollicite de médecins non traitants spécialement mandatés pour étayer un dossier médical (dans ce sens relativement aux expertises de parties : arrêt du TF 8C_558/2008 du 17 mars 2009 consid. 2.4.2). Toutefois, le simple fait qu'un certificat médical est établi à la demande d'une partie et est produit pendant la procédure ne justifie pas en soi des doutes quant à sa valeur probante (ATF 125 V 351 consid. 3b/dd et les références citées).</w:t>
      </w:r>
    </w:p>
    <w:p>
      <w:r>
        <w:rPr>
          <w:b/>
        </w:rPr>
        <w:t>E. 7.1</w:t>
      </w:r>
    </w:p>
    <w:p>
      <w:r>
        <w:t>La décision querellée est fondée sur différents rapports médicaux étrangers produits dans le cadre de la présente procédure (cf. pces OAIE 95 à 100, 112, 113 et 115 ; annexe TAF pce 1). Pour l'essentiel, ces différents rapports médicaux étrangers retiennent les diagnostics suivants : (i) lésions en D2 (pces OAIE 95, p. 1, 99), (ii) de fracture en C2 (pces OAIE 95, p. 2, 99 et 115) et (iii) une spondylarthrite ankylosante (pces OAIE 96, 100 et 115). Cela étant, ces documents médicaux n'ont pas été établis conformément aux principes jurisprudentiels exposés ci-avant (cf. supra consid. 6) permettant de leur accorder une pleine valeur probante. En effet, ces documents médicaux ne font que poser des diagnostics sans expliquer plus avant la manière dont ceux-ci ont été obtenus et sans donner un pronostic d'évolution pour l'avenir (cf. notamment les deux rapports médicaux établis par le Dr. B._______ [pce OAIE 95, p. 1 et 2], rapport médical établi par la Dresse D._______ [pce OAIE 99], rapport médical du Dr. E._______ [pce OAIE 98], rapport clinique du Dresse F._______ [pce OAIE 96], rapport médical E213 établi par le Dr. G._______ [pce OAIE 100]). Par ailleurs, ces documents médicaux ne contiennent pas d'anamnèse et ne tiennent pas compte des plaintes subjectives de l'intéressé. Il en va notamment ainsi des rapports médicaux du Dr. B._______ (pce OAIE 95, p. 1 et 2), et du rapport médical du Dresse F._______ (pce OAIE 96). De la même manière, ces documents médicaux ne contiennent aucune description claire du contexte ainsi que de l'appréciation de la situation médicale et les conclusions des experts ne sont aucunement motivées (cf. notamment les deux rapports médicaux établis par le Dr. B._______ [pce OAIE 95, p. 1 et 2], rapport médical établi par la Dresse D._______ [pce OAIE 99], rapport médical du Dr. E._______ [pce OAIE 98], rapport clinique de la Dresse F._______ [pce OAIE 96], rapport médical E213 établi par le Dr. G._______ [pce OAIE 100], rapport d'examen du Dr. I._______ [pce OAIE 112, p. 2 à 6], rapport clinique du Dr. J._______ [pce OAIE 113], rapport médical E213 du Dr. G._______ [pce OAIE 115]). Par ailleurs, le Tribunal administratif fédéral constate que les médecins ayant établis ces documents médicaux ne se prononcent pas sur l'impact des diagnostics retenus sur la capacité de travail du recourant. Il en va notamment ainsi des rapports médicaux établis par les Dr. B._______ (cf. pce OAIE 95), Dresse F._______ (cf. pce OAIE 96), Dr. C._______ (cf. notamment pce OAIE 97), Dr. E._______ (cf. pce OAIE 98), Dresse D._______ (cf. pce OAIE 99) Dr. I._______ (cf. pce OAIE 112 p. 1 et p. 7) et Dresse L._______ (cf. annexe pce TAF 1). De la même manière, les médecins étrangers ne se sont, pour la plupart, pas prononcés avec clarté sur les limitations fonctionnelles qu'il convient de retenir pas plus que sur l'évolution future des troubles diagnostiqués chez le recourant (cf. notamment rapport médical E213 établi par le Dr. G._______ [pce OAIE 100], rapport d'examen du Dr. I._______ [pce OAIE 112, p. 2 à 6], rapport clinique du Dr. J._______ [pce OAIE 113], rapport médical E213 du Dr. G._______ [pce OAIE 115]. Enfin, les médecins étrangers ne se sont, pour la plupart, pas prononcés sur la capacité de travail dans les activités de substitution exigibles (cf. notamment les deux rapports médicaux établis par le Dr. B._______ [pce OAIE 95, p. 1 et 2], rapport médical établi par la Dresse D._______ [pce OAIE 99], rapport médical du Dr. E._______ [pce OAIE 98], rapport clinique de la Dresse F._______ [pce OAIE 96], rapport médical E213 établi par le Dr. G._______ [pce OAIE 100], rapport d'examen du Dr. I._______ [pce OAIE 112, p. 2 à 6], rapport clinique du Dr. J._______ [pce OAIE 113], rapport médical E213 du Dr. G._______ [pce OAIE 115]). Fondé sur ce qui précède, force est de constater que tous les documents médicaux étrangers recueillis dans le cadre de la présente procédure ne disposent d'aucune valeur probante.</w:t>
      </w:r>
    </w:p>
    <w:p>
      <w:r>
        <w:rPr>
          <w:b/>
        </w:rPr>
        <w:t>E. 7.2</w:t>
      </w:r>
    </w:p>
    <w:p>
      <w:r>
        <w:t>Dans la mesure où les prises de position médicale du Dr. H._______ reposent sur la base des documents médicaux étrangers recueillis dans le cadre de la procédure, lesquels ne disposent d'aucune valeur probante (supra consid. 7.1), force est de constater que dites prise de position médicale n'ont pas non plus été établies en conformité avec les règles jurisprudentielles précitées (cf. supra consid. 6). En particulier, les incapacités de travail retenues par le Dr. H._______, tant dans l'activité habituelle que dans l'activité adaptée, sont différentes de celle retenue par le Dr. G._______ (lequel ne distingue d'ailleurs pas entre incapacité de travail dans l'activité habituelle ou dans l'activité adaptée) sans que cette évaluation ne soit motivée (cf. notamment pces OAIE 115 et 119). Partant, les prises de position médicale du Dr. H._______ ne disposent pas non plus d'une quelconque valeur probante et justifient la mise en place d'une expertise pluridisciplinaire (cf. ATF 125 V 352 consid. 3b/aa et les références, arrêt du Tribunal fédéral 9C_286/2016 du 9 février 2017, consid. 5.1.1).</w:t>
      </w:r>
    </w:p>
    <w:p>
      <w:r>
        <w:rPr>
          <w:b/>
        </w:rPr>
        <w:t>E. 8</w:t>
      </w:r>
    </w:p>
    <w:p>
      <w:r>
        <w:t>Au regard des considérants qui précèdent, force est de constater que l'OAIE ne pouvait pas se fonder sur les rapports médicaux étrangers recueillis dans le cadre de la présente procédure (cf. supra consid. 7.1), pas plus qu'il ne pouvait se fonder sur la prise de position médicale du Dr. H._______ (cf. supra consid. 7.2) pour adopter la décision querellée. Partant, la décision querellée doit être annulée et l'affaire renvoyée à l'autorité inférieure pour nouvelle instruction et nouvelle décision. Dans le cadre de cette nouvelle instruction, l'OAIE devra notamment (i) mettre en place une expertise médicale en Suisse (aucun élément figurant au dossier ne s'y opposant, voir arrêt du Tribunal fédéral 9C_235/2013 du 10 septembre 2013 consid. 3.2 et ré-férences citées ; arrêt du Tribunal administratif fédéral C-4575/2013 du 3 février 2015, consid. 7.6), conformes aux standards jurisprudentiels (cf. supra consid 6), comprenant un volet orthopédique/rhumatologique et un volet de médecine interne et (ii) prendre toutes autres mesures nécessaires à l'appréciation de l'état de santé du recourant. S'agissant en particulier des troubles constatés à la main, le Tribunal administratif fédéral précise que les diagnostics y relatifs ont été correctement posés (cf. notamment pces OAIE 9 et 119) si bien que l'expertise médicale se limitera à déterminer les répercussions de ces troubles sur la capacité de travail du recourant dans l'activité habituelle et dans les activités adaptées aux limitations fonctionnelles retenues.</w:t>
      </w:r>
    </w:p>
    <w:p>
      <w:r>
        <w:rPr>
          <w:b/>
        </w:rPr>
        <w:t>E. 9.1</w:t>
      </w:r>
    </w:p>
    <w:p>
      <w:r>
        <w:t>Selon la jurisprudence, la partie qui a formé recours est réputée avoir obtenu gain de cause lorsque l'affaire est renvoyée à l'administration pour instruction complémentaire et nouvelle décision (ATF 132 V 215 consid. 6.2). Partant, il n'y a en l'occurrence pas lieu de percevoir de frais de procédure (art. 69 al. 2 LAI et art. 63 al. 1 PA). L'avance de frais de Fr. 400.- versée par le recourant lui sera restituée dès l'entrée en force du présent arrêt, à charge pour ce dernier de communiquer un numéro de compte bancaire au moyen duquel le remboursement puisse intervenir. Aucun frais de procédure n'est par ailleurs mis à la charge de l'OAIE conformément à l'art. 63 al. 2 PA.</w:t>
      </w:r>
    </w:p>
    <w:p>
      <w:r>
        <w:rPr>
          <w:b/>
        </w:rPr>
        <w:t>E. 9.2</w:t>
      </w:r>
    </w:p>
    <w:p>
      <w:r>
        <w:t>L'art. 64 PA et l'art.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En l'espèce, le recourant, qui n'est pas représenté, n'allègue pas avoir engagé des frais relativement élevés, aucun dépens ne lui est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