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C-5221/2009 vom 6. Februar 2012</w:t>
      </w:r>
    </w:p>
    <w:p>
      <w:r>
        <w:t>Bundesverwaltungsgericht, 2012-02-06, DE</w:t>
      </w:r>
    </w:p>
    <w:p>
      <w:r>
        <w:rPr>
          <w:b/>
        </w:rPr>
        <w:t xml:space="preserve">Quelle: </w:t>
      </w:r>
      <w:r>
        <w:t>https://mcp.opencaselaw.ch/entscheid/bvger_C-5221_2009</w:t>
      </w:r>
    </w:p>
    <w:p>
      <w:r>
        <w:t>FR: TAF C-5221/2009 du 6 février 2012</w:t>
      </w:r>
    </w:p>
    <w:p>
      <w:r>
        <w:t>IT: TAF C-5221/2009 del 6 febbraio 2012</w:t>
      </w:r>
    </w:p>
    <w:p>
      <w:pPr>
        <w:pStyle w:val="Heading2"/>
      </w:pPr>
      <w:r>
        <w:t>Regeste</w:t>
      </w:r>
    </w:p>
    <w:p>
      <w:r>
        <w:t>Rentenanspruch</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(Art. 59 ATSG). Die Beschwerde wurde frist- und formgerecht eingereicht (vgl. Art. 38 ff. und Art. 60 ATSG, Art. 52 Abs. 1 VwVG). Da auch der Kostenvorschuss rechtzeitig gleistet wurde, ist auf die Beschwerde einzutreten.</w:t>
      </w:r>
    </w:p>
    <w:p>
      <w:r>
        <w:rPr>
          <w:b/>
        </w:rPr>
        <w:t>E. 3</w:t>
      </w:r>
    </w:p>
    <w:p>
      <w:r>
        <w:t>Der Beschwerdeführer rügt sinngemäss, die angefochtene Verfügung sei nicht hinreichend begründet.</w:t>
      </w:r>
    </w:p>
    <w:p>
      <w:r>
        <w:rPr>
          <w:b/>
        </w:rPr>
        <w:t>E. 3.1</w:t>
      </w:r>
    </w:p>
    <w:p>
      <w:r>
        <w:t>Verfügungen sind gemäss Art. 49 Abs. 3 Satz 2 ATSG zu begründen, wenn sie den Begehren der Parteien nicht voll entsprechen. Die einer Behörde obliegende Begründungspflicht fliesst aus dem verfassungsmässigen Anspruch auf rechtliches Gehör (Art. 29 Abs. 2 der Bundesverfassung der Schweizerischen Eidgenossenschaft vom 18. April 1999 [BV, SR 101]).</w:t>
      </w:r>
    </w:p>
    <w:p>
      <w:r>
        <w:rPr>
          <w:b/>
        </w:rPr>
        <w:t>E. 3.1.1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w:t>
      </w:r>
    </w:p>
    <w:p>
      <w:r>
        <w:rPr>
          <w:b/>
        </w:rPr>
        <w:t>E. 3.1.2</w:t>
      </w:r>
    </w:p>
    <w:p>
      <w:r>
        <w:t>Die Behörde hat die Vorbringen der vom Entscheid in seiner Rechtsstellung betroffenen Person auch tatsächlich zu hören, zu prüfen und in der Entscheidfindung zu berücksichtigen. Daraus folgt die Verpflichtung,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mit Hinweisen).</w:t>
      </w:r>
    </w:p>
    <w:p>
      <w:r>
        <w:rPr>
          <w:b/>
        </w:rPr>
        <w:t>E. 3.1.3</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w:t>
      </w:r>
    </w:p>
    <w:p>
      <w:r>
        <w:rPr>
          <w:b/>
        </w:rPr>
        <w:t>E. 3.1.4</w:t>
      </w:r>
    </w:p>
    <w:p>
      <w:r>
        <w:t>Eine Gehörsverletzung kann das angerufene Gericht nicht nur aufgrund von Parteivorbringen, sondern auch von Amtes wegen prüfen (BGE 116 V 182 E. 1a, BGE 120 V 357 E. 2a).</w:t>
      </w:r>
    </w:p>
    <w:p>
      <w:r>
        <w:rPr>
          <w:b/>
        </w:rPr>
        <w:t>E. 3.2</w:t>
      </w:r>
    </w:p>
    <w:p>
      <w:r>
        <w:t>Bevor die IV-Stelle verfügungsweise über ein Leistungsbegehren entscheidet, hat sie grundsätzlich im Rahmen des Vorbescheidverfahrens nach Art. 57a IVG das rechtliche Gehör zu gewähren. Hat die versicherte Person Einwände zum Vorbescheid vorgebracht (vgl. Art. 73ter der Verordnung vom 17. Januar 1961 über die Invalidenversicherung [IVV, SR 831.201]), muss die Begründung der Verfügung eine Auseinandersetzung mit den für den Entscheid relevanten Einwänden enthalten (Art. 74 Abs. 2 IVV). Um die betroffene Person in die Lage zu versetzen, sachgerechte Einwände gegen den Vorbescheid vorzubringen, muss auch dieser hinreichend begründet sein (vgl. Urteil BGer 9C_971/2010 vom 27. Juli 2010 E. 3.3; Urs Müller, Das Verwaltungsverfahren in der Invalidenversicherung, Bern 2010, Rz. 2136).</w:t>
      </w:r>
    </w:p>
    <w:p>
      <w:r>
        <w:rPr>
          <w:b/>
        </w:rPr>
        <w:t>E. 3.2.1</w:t>
      </w:r>
    </w:p>
    <w:p>
      <w:r>
        <w:t>Nach Darlegung der gesetzlichen Grundlagen führte die Vorinstanz im Vorbescheid sowie - identisch - in der Verfügung zur Arbeitsunfähigkeit des Beschwerdeführers und zur Ermittlung des Invaliditätsgrades Folgendes aus: "Im vorliegenden Fall handelt es sich um eine Gesundheitsbeeinträchtigung, die seit dem 03.03.2003 eine Arbeitsunfähigkeit und eine Erwerbseinbusse von 100% verursacht. (...). Andere leichtere, dem Gesundheitszustand besser angepasste Tätigkeiten, wie z.B. Reparatur von Kleingeräten (...), hätten jedoch ausgeübt werden können. Die Arbeitsunfähigkeit bei der Ausübung dieser Tätigkeiten ist von 0% ab 05.12.2006 mit einer Erwerbseinbusse von 23%." Weiter wird erwähnt, dass der Beschwerdeführer den Leistungsantrag erst am 10. März 2008 gestellt habe. Die angefochtene Verfügung enthält zusätzlich folgende Ausführungen: "Die neuen Unterlagen, die Sie Ihrem Schreiben vom 17.03.2009 beigelegt haben, sind unserem ärztlichen Dienst unterbreitet worden. Dieser bestätigt seine vorgängige Stellungnahme. Ebenfalls hat die IV-Stelle von Ihren Bemerkungen vom 19.02.2009 Kenntnis genommen und ist zum Schluss gekommen, dass diese an der Richtigkeit des Vorbescheides vom 26.01.2009 nichts zu ändern vermögen."</w:t>
      </w:r>
    </w:p>
    <w:p>
      <w:r>
        <w:rPr>
          <w:b/>
        </w:rPr>
        <w:t>E. 3.2.2</w:t>
      </w:r>
    </w:p>
    <w:p>
      <w:r>
        <w:t>Dem Vorbescheid lässt sich nicht entnehmen, dass sich die Vorinstanz für die Beurteilung der medizinischen Anspruchsvoraussetzungen auf die Stellungnahmen des RAD-Arztes abstützte und mit welcher Begründung dieser zunächst eine volle Arbeitsunfähigkeit, ab dem 1. Dezember 2006 (nicht ab 5. Dezember 2006, wie im Vorbescheid und in der Verfügung angegeben) jedoch eine uneingeschränkte Arbeitsfähigkeit in einer leidensangepassten Tätigkeit attestierte. In der Verfügung wird lediglich angeführt, der RAD habe seine vorgängige Stellungnahme bestätigt, ohne deren Inhalt bekannt zu geben. Die für die Verwaltung massgebenden RAD-Berichte (vgl. 59 Abs. 2bis IVG [in der seit 1. Januar 2008 gültigen Fassung]) wurden dem Beschwerdeführer weder mit dem Vorbescheid noch mit der Verfügung zugestellt. Da sowohl der Vorbescheid als auch die Verfügung unzureichend begründet sind, wäre die Kenntnis der RAD-Berichte unabdingbar gewesen, um den (in Aussicht gestellten bzw. den getroffenen) Entscheid zu verstehen und allenfalls sachgerechte Einwände dagegen vorzubringen (vgl. BVGE 2010/35 E. 4.2). Anzufügen bleibt, dass im Vorbescheid und in der Verfügung - wie im Übrigen auch in der Vernehmlassung - weitere wesentliche Begründungselemente (insbesondere die Angaben zum Einkommensvergleich) fehlen (vgl. Urteil BGer 9C_971/2010 vom 27. Juli 2010 E. 3.2).</w:t>
      </w:r>
    </w:p>
    <w:p>
      <w:r>
        <w:rPr>
          <w:b/>
        </w:rPr>
        <w:t>E. 3.2.3</w:t>
      </w:r>
    </w:p>
    <w:p>
      <w:r>
        <w:t>Es liegt demnach eine schwere Gehörsverletzung vor, die von der Beschwerdeinstanz nicht als geheilt erkannt werden kann (vgl. Urteil BGer 9C_971/2010 vom 27. Juli 2010 E. 3.3, BVGE 2010/35 E. 4.3.3). Die angefochtene Verfügung ist deshalb aufzuheben.</w:t>
      </w:r>
    </w:p>
    <w:p>
      <w:r>
        <w:rPr>
          <w:b/>
        </w:rPr>
        <w:t>E. 4</w:t>
      </w:r>
    </w:p>
    <w:p>
      <w:r>
        <w:t>Aus verfahrensökonomischen Gründen ist ergänzend darauf hinzuweisen, dass der streitige Anspruch aufgrund der Akten selbst dann nicht beurteilt werden könnte, wenn das Vorbescheidverfahren rechtskonform durchgeführt worden und die Verfügung hinreichend begründet wären.</w:t>
      </w:r>
    </w:p>
    <w:p>
      <w:r>
        <w:rPr>
          <w:b/>
        </w:rPr>
        <w:t>E. 4.1</w:t>
      </w:r>
    </w:p>
    <w:p>
      <w:r>
        <w:t>Die IV-Stelle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zum Ganzen: Urteil BGer 8C_392/2011 vom 19. September 2011 E. 2.2). Der Untersuchungsgrundsatz findet zwar sein Korrelat in den Mitwirkungspflichten der Parteien (BGE 125 V 193 E. 2, BGE 122 V 157 E. 1a; vgl. BGE 130 I 180 E. 3.2), er schliesst die Beweislast im Sinne einer Beweisführungslast aber begriffsnotwendig aus. Im Sozialversicherungsverfahren und -prozess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Urteil BGer 8C_448/2010 vom 19. November 2010 E. 4.1).</w:t>
      </w:r>
    </w:p>
    <w:p>
      <w:r>
        <w:rPr>
          <w:b/>
        </w:rPr>
        <w:t>E. 4.2</w:t>
      </w:r>
    </w:p>
    <w:p>
      <w:r>
        <w:t>Bei rückwirkender Zusprechung einer befristeten Invalidenrente sind die für die Rentenrevision geltenden Bestimmungen analog anzuwenden (vgl. BGE 133 V 263 E. 6.1 mit Hinweisen, Art. 17 Abs. 1 ATSG). Es müssen sowohl die anspruchsbegründenden Tatsachen (insbesondere die langdauernde Arbeitsunfähigkeit im Sinne von Art. 6 ATSG) als auch die revisionsrechtlich erheblichen Veränderungen (wie eine Verbesserung des Gesundheitszustandes) mit überwiegender Wahrscheinlichkeit erstellt sein. Diese Voraussetzungen sind vorliegend nicht erfüllt.</w:t>
      </w:r>
    </w:p>
    <w:p>
      <w:r>
        <w:rPr>
          <w:b/>
        </w:rPr>
        <w:t>E. 4.2.1</w:t>
      </w:r>
    </w:p>
    <w:p>
      <w:r>
        <w:t>Die Vorinstanz hat ausdrücklich nur die bereits erstellten bzw. beim Beschwerdeführer oder seinem Hausarzt vorhandenen medizinischen Unterlagen angefordert (vgl. IV-act. 7 und 8). Sie hat darauf verzichtet selber - über den serbischen Versicherungsträger - Verlaufsberichte oder aktuelle Untersuchungsbefunde einzuholen. Der RAD-Arzt Dr. C._______ hat in seiner Stellungnahme vom 25. November 2008 die medizinischen Akten als ausreichend erachtet, um die Arbeitsfähigkeit rückwirkend zu beurteilen (vgl. IV-act. 99).</w:t>
      </w:r>
    </w:p>
    <w:p>
      <w:r>
        <w:rPr>
          <w:b/>
        </w:rPr>
        <w:t>E. 4.2.2</w:t>
      </w:r>
    </w:p>
    <w:p>
      <w:r>
        <w:t>Vor diesem Hintergrund und angesichts der Vielzahl medizinischer Kurzberichte, die sich weder an die rechtsanwendenden Behörden (als medizinische Laien) richten noch auf die vorliegend erheblichen Fragen eingehen (insbesondere ob objektivierbare Befunde die subjektiven Beschwerden zu erklären vermögen, Beurteilung des funktionellen Leistungsvermögens seit März 2003), kommt der Würdigung der medizinischen Akten durch den RAD eine wesentliche Bedeutung zu. Die Stellungnahmen des RAD müssen den allgemeinen beweisrechtlichen Anforderungen an einen ärztlichen Bericht (vgl. BGE 125 V 351 E. 3a, BGE 122 V 157 E. 1c) genügen. Für RAD-Berichte von besonderer Bedeutung ist, dass diese in Kenntnis der Vorakten abgegeben wurden, in der Beschreibung der medizinischen Situation und Zusammenhänge einleuchten sowie begründete Schlussfolgerungen enthalten. Zudem müssen die Ärztinnen und Ärzte des RAD über die im Einzelfall gefragten persönlichen und fachlichen Qualifikationen verfügen (Urteil BGer 9C_323/2009 vom 14. Juli 2009 E. 4.3.1 mit Hinweis auf BGE 125 V 351 E. 3a, Urteil BGer 9C_904/2009 vom 7. Juni 2010 E. 2.2).</w:t>
      </w:r>
    </w:p>
    <w:p>
      <w:r>
        <w:rPr>
          <w:b/>
        </w:rPr>
        <w:t>E. 4.2.3</w:t>
      </w:r>
    </w:p>
    <w:p>
      <w:r>
        <w:t>Die Stellungnahmen des RAD erfüllen diese Anforderungen nicht. Dr. C._______ ist Facharzt für Allgemeinmedizin, hatte aber einen medizinischen Sachverhalt zu beurteilen, der insbesondere Fragen aus den Bereichen Orthopädie und Neurologie betraf. Seine Stellungnahme vom 25. November 2008 enthält zwar eine Auflistung bzw. Zusammenfassung der medizinischen Vorakten, wobei er aus nachvollziehbaren Gründen nicht alle Berichte aufführt. Er nimmt aber keine Würdigung der medizinischen Akten vor, und es fehlen eine - auch medizinischen Laien einleuchtende - Beschreibung der medizinischen Situation und Zusammenhänge sowie hinreichend begründete Schlussfolgerungen. Insbesondere ist nicht nachvollziehbar, weshalb am 1. Dezember 2006 eine derart wesentliche Verbesserung des Gesundheitszustandes eingetreten sein soll, die zu einer Steigerung der Arbeitsfähigkeit (in einer leidensangepassten Tätigkeit) von 0% auf 100% geführt hat. Die im März 2006 durchgeführte Operation (Spondylodese Th 12-L2 und Dekompression des Spinalkanals) hat für den Beschwerdeführer subjektiv nur vorübergehend eine Verbesserung gebracht. Ob die subjektiven Beschwerden vorher aufgrund von objektiven Befunden hinreichend erklärbar waren - wovon der RAD-Arzt offenbar ausging - erscheint nicht ohne Weiteres klar. Jedenfalls enthält der - vom Übersetzer nur teilweise lesbare - Bericht von Dr. D._______, Facharzt für Neuropsychiatrie und Neurologie, vom 28. Oktober 2004 (IV-act. 51) bereits Hinweise auf eine mögliche psychogene Überlagerung oder eine Symptomausweitung. Darauf wird im RAD-Bericht jedoch nicht eingegangen, obwohl der entsprechende Bericht bei der Zusammenfassung der Akten aufgeführt wird. Keine Angaben macht der RAD-Arzt sodann zur Arbeits(un)fähigkeit in einer anderen, dem Gesundheitszustand besser angepassten Tätigkeit bis Ende November 2006.</w:t>
      </w:r>
    </w:p>
    <w:p>
      <w:r>
        <w:rPr>
          <w:b/>
        </w:rPr>
        <w:t>E. 4.3</w:t>
      </w:r>
    </w:p>
    <w:p>
      <w:r>
        <w:t>Die angefochtene Verfügung beruht demnach auch auf einem unzureichend festgestellten Sachverhalt.</w:t>
      </w:r>
    </w:p>
    <w:p>
      <w:r>
        <w:rPr>
          <w:b/>
        </w:rPr>
        <w:t>E. 5</w:t>
      </w:r>
    </w:p>
    <w:p>
      <w:r>
        <w:t>Zusammenfassend ergibt sich, dass die angefochtene Verfügung aufzuheben und die Sache im Sinne der Erwägungen an die Vorinstanz zurückzuweisen ist, damit diese nach Vornahme ergänzender Abklärungen und Durchführung eines rechtskonformen Vorbescheidverfahrens über den Leistungsanspruch neu verfüge. In diesem Sinne ist die Beschwerde gutzuheissen.</w:t>
      </w:r>
    </w:p>
    <w:p>
      <w:r>
        <w:rPr>
          <w:b/>
        </w:rPr>
        <w:t>E. 6</w:t>
      </w:r>
    </w:p>
    <w:p>
      <w:r>
        <w:t>Zu befinden bleibt noch über die Verfahrenskosten und eine allfällige Parteientschädigung.</w:t>
      </w:r>
    </w:p>
    <w:p>
      <w:r>
        <w:rPr>
          <w:b/>
        </w:rPr>
        <w:t>E. 6.1</w:t>
      </w:r>
    </w:p>
    <w:p>
      <w:r>
        <w:t>Laut Art. 63 Abs. 1 VwVG sind die Verfahrenskosten der unter­liegenden Partei aufzuerlegen, wobei der geleistete Kostenvorschuss zu berücksichtigen ist. Dem obsiegenden Beschwerdeführer (vgl. BGE 137 V 57) wird der geleistete Kostenvorschuss nach Eintritt der Rechtskraft des vorliegenden Urteils zurückerstattet. Der unterlegenen Vorinstanz werden gemäss Art. 63 Abs. 2 VwVG keine Kosten auferlegt.</w:t>
      </w:r>
    </w:p>
    <w:p>
      <w:r>
        <w:rPr>
          <w:b/>
        </w:rPr>
        <w:t>E. 6.2</w:t>
      </w:r>
    </w:p>
    <w:p>
      <w:r>
        <w:t>Der Beschwerdeführer hat gemäss Art. 64 Abs. 1 VwVG in Verbindung mit Art. 7 ff. des Reglements vom 21. Februar 2008 über die Kosten und Entschädigungen vor dem Bundesverwaltungsgericht (VGKE, SR 173.320.2) Anspruch auf eine Parteientschädigung zu Lasten der Vorinstanz für die ihm erwachsenen notwendigen Kosten. Da keine Kostennote eingereicht wurde, ist die Entschädigung aufgrund der Akten festzusetzen (vgl. Art. 14 Abs. 2 VGKE). Unter Berücksichtigung des gebotenen und aktenkundigen Aufwandes erscheint eine Entschädigung von pauschal Fr. 600.-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