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C-5218/2015 vom 4. April 2016</w:t>
      </w:r>
    </w:p>
    <w:p>
      <w:r>
        <w:t>Bundesverwaltungsgericht, 2016-04-04, DE</w:t>
      </w:r>
    </w:p>
    <w:p>
      <w:r>
        <w:rPr>
          <w:b/>
        </w:rPr>
        <w:t xml:space="preserve">Quelle: </w:t>
      </w:r>
      <w:r>
        <w:t>https://mcp.opencaselaw.ch/entscheid/bvger_C-5218_2015</w:t>
      </w:r>
    </w:p>
    <w:p>
      <w:r>
        <w:t>FR: TAF C-5218/2015 du 4 avril 2016</w:t>
      </w:r>
    </w:p>
    <w:p>
      <w:r>
        <w:t>IT: TAF C-5218/2015 del 4 aprile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dominikanischen Staatsangehörigen um Erteilung eines Visums für einen 30-tägigen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bzw. der Gesuchstellerin bestehen, den Schengen-Raum vor Ablauf des beantragten Visums zu verlassen (vgl. BVGE 2014/1 E. 4.4 m.H.).</w:t>
      </w:r>
    </w:p>
    <w:p>
      <w:r>
        <w:rPr>
          <w:b/>
        </w:rPr>
        <w:t>E. 4.5</w:t>
      </w:r>
    </w:p>
    <w:p>
      <w:r>
        <w:t>Sind die vorerwähnten Einreisevoraussetzungen (Visum ausgenommen) nicht erfüllt, darf ein für den gesamten Schengen-Raum geltendes "einheitliches Visum" (Art. 2 Ziff. 3 Visakodex) nicht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Gesuchstellerin habe mit einer "falschen" (Arbeits-)Bestätigung die Behörden täuschen und so ein Visum erschleichen wollen.</w:t>
      </w:r>
    </w:p>
    <w:p>
      <w:r>
        <w:rPr>
          <w:b/>
        </w:rPr>
        <w:t>E. 5.2.1</w:t>
      </w:r>
    </w:p>
    <w:p>
      <w:r>
        <w:t>Wie oben ausgeführt, setzt die Erteilung eines "einheitlichen Visums" (zum Begriff vgl. Art. 2 Ziff. 3 Visakodex) voraus, dass die gesuchstellende Person die Einreisevoraussetzungen erfüllt und kein Verweigerungsgrund vorliegt (Art. 21 und Art. 32 Visakodex). Die Prüfung eines Visumsantrags stützt sich insbesondere auf die Echtheit und Vertrauenswürdigkeit der vom Antragsteller vorgelegten Unterlagen und den Wahrheitsgehalt und die Glaubwürdigkeit seiner Aussagen (Art. 21 Abs. 7 Visakodex). Anlässlich ihrer Gesuchseinreichung wies die Eingeladene bezüglich ihrer Erwerbstätigkeit darauf hin, sie sei Angestellte in einer Eisenwarenhandlung, was sie mit einem entsprechenden Dokument zu belegen versuchte. Die Gastgeberin und Beschwerdeführerin machte im vorinstanzlichen Verfahren geltend, ihre Schwester sei Verkäuferin in einem Baumarkt in Santo Domingo. In der angefochtenen Verfügung hielt die Vorinstanz in diesem Zusammenhang fest, Abklärungen im Rahmen der Gesuchsprüfung durch die Schweizer Vertretung in Santo Domingo hätten ergeben, dass die auf der Arbeitsbestätigung erwähnte Mobiltelefonnummer nicht in Betrieb sei. Im Übrigen würden Unternehmen in der Regel keine Mobiltelefonnummern im Firmenstempel aufführen. Zudem habe die erwähnte Eisenwarenhandlung nicht ausfindig gemacht werden können und der im eingereichten Dokument vom Arbeitgeber bestätigte Lohn sei für eine Buchhaltungsassistentin nicht realistisch, d.h. viel zu hoch. Aufgrund dieser Erkenntnisse müsse in casu davon ausgegangen werden, dass es sich bei der vorgelegten Arbeitgeberbestätigung nicht um ein echtes Dokument handle, was von der Beschwerdeführerin allerdings vehement bestritten wird. Zugleich reichte sie eine neue Bestätigung des angeblichen Arbeitgebers in Kopie zu den Akten.</w:t>
      </w:r>
    </w:p>
    <w:p>
      <w:r>
        <w:rPr>
          <w:b/>
        </w:rPr>
        <w:t>E. 5.2.2</w:t>
      </w:r>
    </w:p>
    <w:p>
      <w:r>
        <w:t>Die Vorinstanz sah sich daher gezwungen, weitere und umfassendere Abklärungen durch die Auslandvertretung vornehmen zu lassen. In ihrer Vernehmlassung vom 20. Oktober 2015 weist das SEM darauf hin, dass sich die auf Beschwerdeebene eingereichte (neue) Arbeitgeberbestätigung nicht wesentlich von dem im Rahmen des Visumsantrages abgegebenen Dokument unterscheide, sei doch lediglich eine weitere Telefonnummer aufgeführt. Erneute Abklärungen in Zusammenarbeit mit der Schweizer Vertretung in Santo Domingo hätten ergeben, dass sich nunmehr zwar jemand unter der neu aufgeführten Telefonnummer melde, die Gesuchstellerin jedoch nicht habe erreicht werden können. Es sei deshalb weiterhin davon auszugehen, dass es sich beim fraglichen Dokument um ein "arrangiertes" Schreiben handle. Im Übrigen habe die Vorinstanz gegen die Eingeladene bereits im Jahre 2006 eine zweijährige Einreisesperre verhängen müssen, weil diese versucht hätte, mit einer gefälschten Arbeitsbescheinidung ein Visum zu erschleichen.</w:t>
      </w:r>
    </w:p>
    <w:p>
      <w:r>
        <w:rPr>
          <w:b/>
        </w:rPr>
        <w:t>E. 5.2.3</w:t>
      </w:r>
    </w:p>
    <w:p>
      <w:r>
        <w:t>Das Bundesverwaltungsgericht hat keine Veranlassung, das Abklärungsergebnis der mit den Verhältnissen vor Ort bestens vertrauten Schweizer Vertretung in Santo Domingo in Frage zu stellen, zumal die Beschwerdeführerin es trotz ausdrücklich gewährtem Replikrecht unterlassen hat, zu den obgenannten Vorwürfen Stellung zu nehmen und damit die begründeten Zweifel an der Echtheit der von ihrer Schwester vorgelegten Belege auszuräumen. Indem die Gesuchstellerin erneut versucht hat, mit einem falschen bzw. gefälschten Beleg die Behörden zu täuschen, um sich so ein Visum zu erschleichen, ist das beantragte Schengen-Visum zwingend zu verweigern (Art. 32 Abs. 1 Bst. b Visakodex i.V.m. Art. 12 Abs. 2 Bst. b VEV). Vor diesem Hintergrund kann auch nicht ausschlaggebend sein, dass die Gesuchstellerin in der Vergangenheit bereits zweimal zu Besuch in der Schweiz gewesen und jeweils fristgerecht in ihre Heimat zurückgekehrt ist. Gründe für die Ausstellung eines Visums mit räumlich beschränkter Gültigkeit (vgl. dazu E. 4.5) wurden von den Beteiligten zu Recht nicht geltend gemacht und solche sind auch nicht ersichtlich.</w:t>
      </w:r>
    </w:p>
    <w:p>
      <w:r>
        <w:rPr>
          <w:b/>
        </w:rPr>
        <w:t>E. 6</w:t>
      </w:r>
    </w:p>
    <w:p>
      <w:r>
        <w:t>Aus vorstehenden Erwägungen folgt, dass die angefochtene Verfügung im Lichte von Art. 49 VwVG nicht zu beanstanden ist. Die Beschwerde ist daher abzuweisen.</w:t>
      </w:r>
    </w:p>
    <w:p>
      <w:r>
        <w:rPr>
          <w:b/>
        </w:rPr>
        <w:t>E. 7</w:t>
      </w:r>
    </w:p>
    <w:p>
      <w:r>
        <w:t>Entsprechend dem Ausgang des Verfahrens wird die unterliegende Beschwerdeführerin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