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C-5215/2013 vom 6. November 2014</w:t>
      </w:r>
    </w:p>
    <w:p>
      <w:r>
        <w:t>Bundesverwaltungsgericht, 2014-11-06, FR</w:t>
      </w:r>
    </w:p>
    <w:p>
      <w:r>
        <w:rPr>
          <w:b/>
        </w:rPr>
        <w:t xml:space="preserve">Quelle: </w:t>
      </w:r>
      <w:r>
        <w:t>https://mcp.opencaselaw.ch/entscheid/bvger_C-5215_2013</w:t>
      </w:r>
    </w:p>
    <w:p>
      <w:r>
        <w:t>FR: TAF C-5215/2013 du 6 novembre 2014</w:t>
      </w:r>
    </w:p>
    <w:p>
      <w:r>
        <w:t>IT: TAF C-5215/2013 del 6 novembre 2014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interjeté par l'intéressé en date du 17 septembre 2013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2013/33 consid. 2 et références citées).</w:t>
      </w:r>
    </w:p>
    <w:p>
      <w:r>
        <w:rPr>
          <w:b/>
        </w:rPr>
        <w:t>E. 3</w:t>
      </w:r>
    </w:p>
    <w:p>
      <w:r>
        <w:t>L'ODM a prononcé à l'encontre de A._______, ressortissant français, une interdiction d'entrée en Suisse en application de l'art. 67 LEtr au motif que le prénommé avait attenté à l'ordre et à la sécurité publics pour avoir enfreint la LStup. Selon l'art. 67 al. 2 let. a LEtr, entré en vigueur le 1er janvier 2011, l'ODM peut interdire l'entrée en Suisse à un étranger lorsque ce dernier a attenté à la sécurité et à l'ordre publics en Suisse ou à l'étranger ou les a mis en danger.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3.1</w:t>
      </w:r>
    </w:p>
    <w:p>
      <w:r>
        <w:t>Aux termes de son art. 2 al. 2, la LEtr n'est applicable aux ressortissants des Etats membres de la Communauté européenne, aux membres de leur famille et aux travailleurs détachés par un employeur ayant son siège et son domicile dans un de ces Etats que dans la mesure où l'ALCP (RS 0.142.112.681) n'en dispose pas autrement ou lorsque ladite loi contient des dispositions plus favorables. 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3.2</w:t>
      </w:r>
    </w:p>
    <w:p>
      <w:r>
        <w:t>Comme précisé dans cet ATF 139 II 121 au considérant 5.3, dès lors qu'une mesure d'interdiction d'entrée en Suisse restreint la libre circulation des personnes, l'interdiction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ATF 136 II 5 consid. 4.2).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et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A cet égard, le Tribunal fédéral se montre particulièrement rigoureux en présence d'infractions à la LStup, étant précisé que la commission d'infractions qui sont en étroite relation avec la toxicomanie du délinquant peuvent, selon les circonstances, atténuer cette position de principe (cf. ATF 139 II 121, consid. 5.3).</w:t>
      </w:r>
    </w:p>
    <w:p>
      <w:r>
        <w:rPr>
          <w:b/>
        </w:rPr>
        <w:t>E. 3.3</w:t>
      </w:r>
    </w:p>
    <w:p>
      <w:r>
        <w:t>Par conséquent, il faut, pour faire l'objet d'une interdiction d'entrée en application de l'art. 67 al. 2 let. a LEtr, que le ressortissant d'un Etat partie à l'ALCP, représente une menace d'une certaine gravité pour l'ordre et la sécurité publics de nature à le priver de son droit d'entrer en Suisse au sens de l'art. 5 annexe I ALCP.</w:t>
      </w:r>
    </w:p>
    <w:p>
      <w:r>
        <w:rPr>
          <w:b/>
        </w:rPr>
        <w:t>E. 4.1</w:t>
      </w:r>
    </w:p>
    <w:p>
      <w:r>
        <w:t>A titre liminaire, il convient de relever que dans le cadre de son recours, l'intéressé a émis le grief selon lequel l'ODM n'a pas la compétence de prononcer une interdiction d'entrée en Suisse pour une durée illimitée. Or, l'ODM a, dans le cadre de l'échange d'écritures, réduit la durée de la mesure d'éloignement de l'intéressé à 10 ans en précisant qu'au vu de la jurisprudence du Tribunal fédéral (ATF 139 II 121 consid. 6), une interdiction d'entrée en Suisse d'une durée supérieure à 5 ans pouvait être prononcée à l'égard d'un ressortissant d'un Etat partie à l'ALCP, lorsque celui-ci représentait une menace grave et actuelle pour l'ordre et la sécurité publics. L'intéressé a eu un droit d'être entendu suite à cette modification de la décision attaquée et par courrier du 13 novembre 2013, il a déclaré maintenir son recours et a sollicité la suppression de cette interdiction d'entrée. Compte tenu de ces faits, le Tribunal considère qu'il n'a plus à se prononcer sur la question de savoir si l'ODM était habilitée à prononcer une interdiction d'entrée en Suisse pour une durée illimitée.</w:t>
      </w:r>
    </w:p>
    <w:p>
      <w:r>
        <w:rPr>
          <w:b/>
        </w:rPr>
        <w:t>E. 4.2</w:t>
      </w:r>
    </w:p>
    <w:p>
      <w:r>
        <w:t>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(consid. 6.3).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w:t>
      </w:r>
    </w:p>
    <w:p>
      <w:r>
        <w:rPr>
          <w:b/>
        </w:rPr>
        <w:t>E. 4.3</w:t>
      </w:r>
    </w:p>
    <w:p>
      <w:r>
        <w:t>En l'état, il convient donc d'examiner si la décision rendue par l'ODM le 19 mars 2012, telle que modifiée le 7 novembre 2013, est légale et adéquate.</w:t>
      </w:r>
    </w:p>
    <w:p>
      <w:r>
        <w:rPr>
          <w:b/>
        </w:rPr>
        <w:t>E. 5.1</w:t>
      </w:r>
    </w:p>
    <w:p>
      <w:r>
        <w:t>A l'examen du dossier, il appert que A._______ a été condamné une première fois le (...) à 20 jours d'emprisonnement sous déduction de 6 jours de détention préventive, assortie d'une mesure de sursis de 3 ans, pour infractions à la LStup. Par la suite, la Cour correctionnelle de la République et canton de Genève l'a condamné, par arrêt du (...), à une peine privative de liberté de 6 ans pour infractions à l'art. 19 ch. 1 et 2 let. a LStup. Par jugement du Tribunal correctionnel de la République et canton de Genève rendu le (...), sa peine a été revue et fixée à 4 ans de détention, sous déduction de 2 ans 2 mois et 23 jours de détention avant jugement, pour infractions à l'art. 19 ch. 1 et 2 let. a LStup. Dans les considérants de l'arrêt du (...), on peut lire qu' "en l'espèce, la quantité de drogue est importante. Le prévenu a joué un rôle clef dans les importations de cocaïne qui lui sont reprochées. Il a occupé tous les échelons en faisant tant du trafic de rue qu'en important de grandes quantités de drogue de l'étranger. Il occupait un niveau élevé dans la hiérarchie, ainsi que cela ressort notamment des écoutes téléphoniques. A cet égard, il convient de relever que l'intensité de ses contacts est allée crescendo au fil des semaines durant lesquelles la surveillance s'est exercée. En outre, le prévenu avait plusieurs sources d'approvisionnement, soit le réseau familial en provenance de Hollande et le canal D._______. Son comportement s'inscrit dans le cadre d'un trafic de stupéfiants international d'une certaine envergure. Sa faute est donc lourde" (consid. 2.2).</w:t>
      </w:r>
    </w:p>
    <w:p>
      <w:r>
        <w:rPr>
          <w:b/>
        </w:rPr>
        <w:t>E. 5.2</w:t>
      </w:r>
    </w:p>
    <w:p>
      <w:r>
        <w:t>Au regard du comportement délictueux adopté par l'intéressé, il n'est pas contestable que ses agissements ont constitué non seulement un trouble à l'ordre social, mais encore ont gravement affecté un intérêt fondamental de la société. C'est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à cet égard, l'arrêt du TAF C-6835/2011 du 28 février 2013 consid. 5.1 et les arrêts cités). A ce stade, il y a donc lieu de retenir que le recourant, quoiqu'il en dise, s'est rendu coupable d'infractions qui présentent objectivement une menace réelle et dont on ne saurait contester qu'elles affectent un intérêt fondamental de la société au sens de la jurisprudence de la Cour de Justice de l'Union européenne. Aussi, au regard du droit interne, la décision d'interdiction d'entrée prononcée à l'encontre de l'intéressé se révélait-elle parfaitement justifiée dans son principe.</w:t>
      </w:r>
    </w:p>
    <w:p>
      <w:r>
        <w:rPr>
          <w:b/>
        </w:rPr>
        <w:t>E. 5.3</w:t>
      </w:r>
    </w:p>
    <w:p>
      <w:r>
        <w:t>Il convient encore d'examiner si cette menace est toujours d'actualité. En l'espèce, on ne saurait nier que l'intéressé a contribué à la mise en circulation d'importantes quantités de stupéfiants (importation et ventes), mettant ainsi très nettement, que ce soit directement ou indirectement, en danger la santé de nombreuses personnes au sens de l'art. 19 al. 2 let. a LStup (cf. arrêt du TF 2C_1110/2013 du 17 avril 2014 consid. 4.2 et références citées). Le Tribunal correctionnel a ainsi expressément considéré que la faute de l'intéressé était lourde. A l'inverse, cette autorité judiciaire a cependant relevé que l'intéressé semblait avoir reconnu ses torts en retenant que "A._______ a expliqué avoir régulièrement vu son épouse et son fils, C._______, depuis qu'il est en prison et avoir l'intention de retourner vivre au domicile conjugal dès sa sortie de prison. (...). Il n'avait plus de nouvelles de son frère E._______, ne savait pas où se trouvait ce dernier et, de manière générale, avait coupé tout lien avec ses anciennes fréquentations, même ses frères. A._______ a exprimé ses regrets par rapport à son comportement, expliquant être conscient que la drogue détruit. Il était prêt à faire n'importe quoi pour réparer ce qu'il avait fait. Le Tribunal a également entendu F._______, épouse de A._______, qui a indiqué que celui-ci lui avait promis qu'il ne recommencerait pas. Il s'agissait d'ailleurs d'une condition à la poursuite de leur relation" (cf. jugement du [...] ad page 3 en fait). Ceci étant, le Tribunal ne saurait toutefois passer sous silence le fait que l'intéressé est récidiviste, dès lors qu'il avait déjà été condamné une première fois pour des délits similaires (cf. lettre A.b ci-dessus), en (...), ni que le trafic mis en place par la suite n'a été interrompu qu'en raison de son arrestation en 2008. A cela s'ajoute que seul l'appât du gain a motivé l'activité illicite de l'intéressé. De plus, étant déjà marié et père de famille, il n'a pas hésité à prendre le risque de mettre les membres de sa famille dans une situation difficile. En outre, le Tribunal doit encore constater que l'intéressé semble aujourd'hui sans travail (cf. courrier du 23 septembre 2013, joint à la demande d'octroi de l'assistance judiciaire, adressé à l'intéressé par Pôle Emploi, selon lequel l'intéressé a donné sa démission et se trouve au chômage), ce qui constitue également un élément défavorable dans l'appréciation de sa situation personnelle et, en l'espèce, de la menace qu'il est susceptible de représenter pour l'ordre public suisse. Enfin, le Tribunal observe que l'intéressé, en dépit de la mesure d'éloignement prononcée à son encontre, continue de pénétrer sur le territoire suisse, puisqu'il conduit son épouse à son lieu de travail et son fils à son cours de natation, faisant ainsi preuve d'une attitude pour le moins désinvolte à l'égard de l'ordre public suisse. Aussi, compte tenu de la nature des infractions commises par l'intéressé (infractions à la LStup), de son instabilité professionnelle actuelle et du non-respect de la mesure d'éloignement prononcée à son encontre, le Tribunal considère que la menace, qu'il est susceptible de représenter à l'égard de l'ordre public suisse, conserve son caractère d'actualité.</w:t>
      </w:r>
    </w:p>
    <w:p>
      <w:r>
        <w:rPr>
          <w:b/>
        </w:rPr>
        <w:t>E. 5.4</w:t>
      </w:r>
    </w:p>
    <w:p>
      <w:r>
        <w:t>Sur le principe, le prononcé d'une interdiction d'entrée en Suisse à l'encontre de l'intéressé au sens de l'art. 67 al. 2 let. a LEtr en relation avec l'art. 5 annexe I ALCP est ainsi justifié.</w:t>
      </w:r>
    </w:p>
    <w:p>
      <w:r>
        <w:rPr>
          <w:b/>
        </w:rPr>
        <w:t>E. 6.1</w:t>
      </w:r>
    </w:p>
    <w:p>
      <w:r>
        <w:t>L'intéressé étant un ressortissant français, il convient encore d'examiner dans quelle mesure la durée de l'interdiction d'entrée prononcée à son encontre, ramenée à 10 ans par l'ODM, mais toujours supérieure à la limite maximale de 5 ans fixée par l'art. 67 al. 3 première phrase LEtr, respecte les conditions légales.</w:t>
      </w:r>
    </w:p>
    <w:p>
      <w:r>
        <w:rPr>
          <w:b/>
        </w:rPr>
        <w:t>E. 6.2</w:t>
      </w:r>
    </w:p>
    <w:p>
      <w:r>
        <w:t>En l'espèce, il appert - comme déjà précédemment relevé aux points 5.1 et 5.3 - que l'intéressé a contribué à la mise en circulation d'une importante quantité de drogue, au sein d'une organisation dans laquelle il occupait un poste clé, et que seule son arrestation a permis d'y mettre un terme. Aussi, en raison de la nature du bien juridique protégé (soit la santé des personnes) ainsi que de l'infraction commise (participation active à un trafic de drogue), de surcroît par seul appât de gain, il convient d'admettre que le palier II, qui présuppose une menace caractérisée, est, en l'espèce atteint, de sorte que la limite de la durée maximale prévue à l'art. 67 al. 3 première phrase LEtr peut être franchie.</w:t>
      </w:r>
    </w:p>
    <w:p>
      <w:r>
        <w:rPr>
          <w:b/>
        </w:rPr>
        <w:t>E. 6.3</w:t>
      </w:r>
    </w:p>
    <w:p>
      <w:r>
        <w:t>Il convient encore d'examiner dans quelle mesure la nouvelle durée de 10 ans, fixée par l'ODM ensuite de sa reconsidération en date du 7 novembre 2013 de la décision du 19 mars 2012, est adéquate et proportionnée aux circonstances. Sous cet angle, et au vu de l'ensemble des éléments objectifs et subjectifs de la cause (en particulier l'absence au dossier d'une nouvelle interpellation de l'intéressé depuis sa condamnation en date du [...], respectivement en date du [...], ses déclarations selon lesquelles il aurait pris ses distances avec le milieu de la drogue et son statut d'époux d'une ressortissante française travaillant en Suisse et de père de famille), le Tribunal estime que la durée de l'interdiction d'entrée telle que reconsidérée par l'autorité inférieure en date du 7 novembre 2013 n'est pas adéquate et qu'il convient de la ramener à une période de 7 ans. Cette durée apparaît également comme proportionnée aux circonstances, en application de l'ALCP.</w:t>
      </w:r>
    </w:p>
    <w:p>
      <w:r>
        <w:rPr>
          <w:b/>
        </w:rPr>
        <w:t>E. 6.4</w:t>
      </w:r>
    </w:p>
    <w:p>
      <w:r>
        <w:t>En conséquence, au vu de la gravité des actes reprochés à l'intéressé et de l'importance du risque de récidive que laisse redouter son passé judiciaire, il s'impose de retenir qu'une mesure d'interdiction d'entrée pour une durée de 7 ans, à savoir jusqu'au 19 mars 2019, apparaît comme nécessaire, adéquate et proportionnée en vue de bannir la menace que représente l'intéressé pour l'ordre et la sécurité publics.</w:t>
      </w:r>
    </w:p>
    <w:p>
      <w:r>
        <w:rPr>
          <w:b/>
        </w:rPr>
        <w:t>E. 6.5</w:t>
      </w:r>
    </w:p>
    <w:p>
      <w:r>
        <w:t>Il sied encore de constater qu'en raison de la nationalité française de A._______, c'est à juste titre que l'ODM a limité au seul territoire suisse la portée de l'interdiction d'entrée prononcée à l'encontre du prénommé dans sa décision de reconsidération du 7 novembre 2013 du prononcé du 19 mars 2012 (cf. lettre F ci-dessus).</w:t>
      </w:r>
    </w:p>
    <w:p>
      <w:r>
        <w:rPr>
          <w:b/>
        </w:rPr>
        <w:t>E. 7.1</w:t>
      </w:r>
    </w:p>
    <w:p>
      <w:r>
        <w:t>Partant, le recours est partiellement admis et la décision de l'ODM du 19 mars 2012 est réformée en ce sens que les effets de l'interdiction d'entrée en Suisse sont limités au 19 mars 2019.</w:t>
      </w:r>
    </w:p>
    <w:p>
      <w:r>
        <w:rPr>
          <w:b/>
        </w:rPr>
        <w:t>E. 7.2</w:t>
      </w:r>
    </w:p>
    <w:p>
      <w:r>
        <w:t>Bien qu'elle succombe partiellement, l'autorité inférieure n'a pas à supporter de frais de procédure (art. 63 al. 2 PA).</w:t>
      </w:r>
    </w:p>
    <w:p>
      <w:r>
        <w:rPr>
          <w:b/>
        </w:rPr>
        <w:t>E. 7.3</w:t>
      </w:r>
    </w:p>
    <w:p>
      <w:r>
        <w:t>Compte tenu de l'issue de la cause, il y aurait lieu de mettre des frais réduits de procédure à la charge du recourant, lequel est toutefois dispensé de ces frais, dès lors que par décision incidente du 4 décembre 2013, il a été mis au bénéfice de l'assistance judiciaire partielle.</w:t>
      </w:r>
    </w:p>
    <w:p>
      <w:r>
        <w:rPr>
          <w:b/>
        </w:rPr>
        <w:t>E. 7.4</w:t>
      </w:r>
    </w:p>
    <w:p>
      <w:r>
        <w:t>Le recourant a par ailleurs droit à des dépens réduits (art. 64 al. 1 PA en relation avec l'art. 7 al. 2 du règlement du 11 décembre 2006 concernant les frais, dépens et indemnités fixés par le Tribunal administratif fédéral [FITAF, RS 173.320.2]). Le recourant n'obtenant que partiellement gain de cause, le Tribunal considère, au regard des art. 8 et ss FITAF, que le versement d'un montant de 600 francs à titre de dépens apparaît comme équitable en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