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C-5210/2011 vom 22. Oktober 2012</w:t>
      </w:r>
    </w:p>
    <w:p>
      <w:r>
        <w:t>Bundesverwaltungsgericht, 2012-10-22, FR</w:t>
      </w:r>
    </w:p>
    <w:p>
      <w:r>
        <w:rPr>
          <w:b/>
        </w:rPr>
        <w:t xml:space="preserve">Quelle: </w:t>
      </w:r>
      <w:r>
        <w:t>https://mcp.opencaselaw.ch/entscheid/bvger_C-5210_2011</w:t>
      </w:r>
    </w:p>
    <w:p>
      <w:r>
        <w:t>FR: TAF C-5210/2011 du 22 octobre 2012</w:t>
      </w:r>
    </w:p>
    <w:p>
      <w:r>
        <w:t>IT: TAF C-5210/2011 del 22 ottobre 2012</w:t>
      </w:r>
    </w:p>
    <w:p>
      <w:pPr>
        <w:pStyle w:val="Heading2"/>
      </w:pPr>
      <w:r>
        <w:t>Regeste</w:t>
      </w:r>
    </w:p>
    <w:p>
      <w:r>
        <w:t>Droit à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Ainsi, le droit à une rente de l'assurance-invalidité doit être examiné au regard de l'ancien droit pour la période jusqu'au 31 décembre 2007 et, après le 1er janvier 2008, en fonction des modifications introduites par la 5e révision de la LAI (RO 2007 5147), étant précisé que l'application du nouveau droit ne modifie pas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 Le cas d'assurance ayant eu lieu in casu après le 1er janvier 2008, les dispositions de la LAI, de son règlement d'exécution et de la LPGA, seront donc citées, sauf mention contraire, dans leur teneur en vigueur jusqu'au 31 décembre 2011.</w:t>
      </w:r>
    </w:p>
    <w:p>
      <w:r>
        <w:rPr>
          <w:b/>
        </w:rPr>
        <w:t>E. 4</w:t>
      </w:r>
    </w:p>
    <w:p>
      <w:r>
        <w:t>En premier lieu, le recourant se plaint d'une grave violation du droit d'être entendu.</w:t>
      </w:r>
    </w:p>
    <w:p>
      <w:r>
        <w:rPr>
          <w:b/>
        </w:rPr>
        <w:t>E. 4.1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(ATF 133 I 270 consid. 3.1, ATF 133 III 439 consid. 3.3, arrêt du Tribunal fédéral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ATF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p. 236, ATF 136 I 184 consid. 2.2.1 p. 188, ATF 135 V 65 consid. 2.6 p. 73 et les arrêts cités ; ATAF 2010/35 consid. 4.1.2).</w:t>
      </w:r>
    </w:p>
    <w:p>
      <w:r>
        <w:rPr>
          <w:b/>
        </w:rPr>
        <w:t>E. 4.3</w:t>
      </w:r>
    </w:p>
    <w:p>
      <w:r>
        <w:t>En l'espèce, l'autorité a tout d'abord procédé par préavis ainsi que l'art. 57a LAI l'exige, en dérogation par ailleurs à l'art. 52 LPGA. Ce projet de décision, daté du 1er juin 2011, expose dans les grandes lignes les dispositions légales topiques, exclut l'exercice de l'ancienne activité et estime qu'en revanche une activité plus légère, adaptée à l'état de santé et respectant les limitations fonctionnelles qui sont énumérées est possible à 100% avec une perte de gain de 10%. Rien n'indique que la prise de position du médecin du service médical régional (SMR) à l'origine de la décision de suppression a été communiqué au recourant. En procédure d'audition, celui-ci produit d'autres documents, ayant tous trait à la pension d'invalidité qu'il reçoit en France. L'autorité intimée confirme par décision finale du 10 août 2011 le rejet des prestations en citant les mêmes dispositions légales que dans le préavis. Satisfaisant à l'art. 74 du règlement du 17 janvier 1961 sur l'assurance-invalidité (RAI, RS 831.201) qui prescrit que la motivation du prononcé de l'AI doit tenir compte des observations qui ont été faites par les parties sur le préavis, elle explique que le certificat du Dr C._______ ne fait que confirmer les atteintes connues et, en substance, que le recourant ne peut se prévaloir de la reconnaissance de son invalidité permanente en France pour obtenir une rente puisque cette décision ne lie pas l'AI suisse.</w:t>
      </w:r>
    </w:p>
    <w:p>
      <w:r>
        <w:rPr>
          <w:b/>
        </w:rPr>
        <w:t>E. 4.4</w:t>
      </w:r>
    </w:p>
    <w:p>
      <w:r>
        <w:t>Si la motivation est sommaire, elle n'est toutefois pas inexistante. Certes, la Cour de céans s'est prononcée à plusieurs reprises sur l'importance de la procédure de préavis et l'obligation de joindre les pièces essentielles au projet de décision afin que le recourant puisse exercer correctement son droit d'être entendu (cf. ATAF 2010/35; arrêt du Tribunal administratif fédéral C-6355/2009 du 4 mars 2010, C-18/2010 du 21 avril 2010 et C-4092/2010 du 5 août 2010). Ce devoir est particulièrement accru dans les procédures de suppression de rente. Or le cas d'espèce est éloigné de celui ayant donné lieu à la jurisprudence que le recourant cite. En effet, dans ces cas, la décision n'était absolument pas motivée et/ou l'autorité n'a pas fait suite à la demande de l'assuré de consulter le dossier. Il s'en suit que s'il y a lieu d'admettre une violation du droit d'être entendu, on ne peut la qualifier de particulièrement grave à l'instar du recourant.</w:t>
      </w:r>
    </w:p>
    <w:p>
      <w:r>
        <w:rPr>
          <w:b/>
        </w:rPr>
        <w:t>E. 4.5</w:t>
      </w:r>
    </w:p>
    <w:p>
      <w:r>
        <w:t>De plus, 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 Dans le cas présent, le Tribunal qui jouit du même pouvoir d'examen que l'autorité inférieure a communiqué au recourant la totalité du dossier lui impartissant un délai pour faire valoir l'ensemble de ses griefs. Il convient de considérer que la procédure contentieuse a dès lors guéri le vice formel initial, et le recours doit être rejeté sur ce point.</w:t>
      </w:r>
    </w:p>
    <w:p>
      <w:r>
        <w:rPr>
          <w:b/>
        </w:rPr>
        <w:t>E. 5.1</w:t>
      </w:r>
    </w:p>
    <w:p>
      <w:r>
        <w:t>Il reste donc à examiner si c'est à bon droit que l'autorité inférieure a refusé d'allouer des prestations AI au recourant.</w:t>
      </w:r>
    </w:p>
    <w:p>
      <w:r>
        <w:rPr>
          <w:b/>
        </w:rPr>
        <w:t>E. 5.2</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le recourant remplit la condition liée à la durée minimale de cotisations. Il reste dès lors à examiner si l'intéressé pouvait être qualifié d'invalide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6.3</w:t>
      </w:r>
    </w:p>
    <w:p>
      <w:r>
        <w:t>L'assuré a droit à un quart de rente s'il est invalide à 40% au moins, à une demi-rente s'il est invalide à 50%, à trois-quarts de rente s'il est invalide à 60% et à une rente entière s'il est invalide à 70% au moins (art. 28 al. 1 LAI).</w:t>
      </w:r>
    </w:p>
    <w:p>
      <w:r>
        <w:rPr>
          <w:b/>
        </w:rPr>
        <w:t>E. 7.1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Le délai d'attente selon l'art. 28 al. 1 let. b LAI est réputé avoir commencé dès qu'il a été possible de constater une incapacité de travail de 20% (cf. chiffre marginal 2010 de la Circulaire concernant l'invalidité et l'impotence, Jurisprudence et pratique administrative des autorités d'exécution de l'AVS/AI [Pratique VSI] 1998 p. 126 consid. 3c).</w:t>
      </w:r>
    </w:p>
    <w:p>
      <w:r>
        <w:rPr>
          <w:b/>
        </w:rPr>
        <w:t>E. 7.2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w:t>
      </w:r>
    </w:p>
    <w:p>
      <w:r>
        <w:rPr>
          <w:b/>
        </w:rPr>
        <w:t>E. 8.1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w:t>
      </w:r>
    </w:p>
    <w:p>
      <w:r>
        <w:rPr>
          <w:b/>
        </w:rPr>
        <w:t>E. 8.3</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(Pratique VSI 1998 p. 296 consid. 3b; arrêt du Tribunal fédéral I 636/06 du 22 septembre 2006 consid. 3.2).</w:t>
      </w:r>
    </w:p>
    <w:p>
      <w:r>
        <w:rPr>
          <w:b/>
        </w:rPr>
        <w:t>E. 8.4</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I 198/97 du 7 juillet 1998 consid. 3b in Pratique VSI 1998 p. 296 et les références). La notion de marché équilibré du travail recouvre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 8C_944/2011 du 17 avril 2012 consid. 3.2). Ceci dit, on ne saurait exiger des assurés qu'ils prennent des mesures incompatibles avec l'ensemble des circonstances objectives et subjectives (arrêt 9C_313/2007 du 8 janvier 2008 consid. 5.2 in fine et la référence).</w:t>
      </w:r>
    </w:p>
    <w:p>
      <w:r>
        <w:rPr>
          <w:b/>
        </w:rPr>
        <w:t>E. 9.1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consid. 3.2 et 3.3). Aussi n'existe-t-il pas, en droit des assurances sociales, un principe selon lequel l'administration ou le juge devrait statuer, dans le doute, en faveur de l'assuré (ATF 126 V 319 consid. 5a). Selon le principe de libre appréciation des preuves,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L'élément déterminant pour la valeur probante d'un rapport médical n'est ni son origine, ni sa désignation, mais son contenu.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w:t>
      </w:r>
    </w:p>
    <w:p>
      <w:r>
        <w:rPr>
          <w:b/>
        </w:rPr>
        <w:t>E. 9.2</w:t>
      </w:r>
    </w:p>
    <w:p>
      <w:r>
        <w:t>Le Tribunal fédéral a posé des lignes directrices en matière d'appréciation des preuves.</w:t>
      </w:r>
    </w:p>
    <w:p>
      <w:r>
        <w:rPr>
          <w:b/>
        </w:rPr>
        <w:t>E. 9.2.1</w:t>
      </w:r>
    </w:p>
    <w:p>
      <w:r>
        <w:t>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9.3</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Arrêt du Tribunal fédéral I 592/99 du 13 mars 2000, consid. b/ee). Le Tribunal fédéral a récemment confirmé à cet égard, l'indépendance des COMAI face à l'administration (ATF 137 V 210 consid. 1.3).</w:t>
      </w:r>
    </w:p>
    <w:p>
      <w:r>
        <w:rPr>
          <w:b/>
        </w:rPr>
        <w:t>E. 9.4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Das Verwaltungsverfahren in der Sozialversicherung, Zurich 1999, p. 212, n° 450; Alfred Kölz/Isabelle Häner, Verwaltungsverfahren und Verwaltungsrechtspflege des Bundes, 2e éd., Zurich 1998, p. 39, n° 111 et p. 117, n° 320; Fritz Gygi, Bundesverwaltungsrechtspflege, 2e éd., Berne 1983, p. 274; cf. aussi ATF 122 II 464 consid. 4a, ATF 122 III 219 consid. 3c, ATF 120 Ib 224 consid. 2b).</w:t>
      </w:r>
    </w:p>
    <w:p>
      <w:r>
        <w:rPr>
          <w:b/>
        </w:rPr>
        <w:t>E. 10.1</w:t>
      </w:r>
    </w:p>
    <w:p>
      <w:r>
        <w:t>En l'espèce, selon la documentation médicale versée au dossier, le recourant souffre, depuis son premier accident en 2003, de sévères lombalgies chroniques suite à une fracture en L1, une hernie discale L5-S1 et des fractures costales, sans que l'on sache si ces atteintes l'ont empêché durablement de travailler puisqu'aucune demande de prestations AI n'avait été déposée à cette époque. Lors de l'accident de 2008 qui a justifié l'ouverture de la présente procédure, le recourant était occupé chez son employeur depuis 2006 en qualité de gérant et de cuisinier. Suite à une chute, il a subi de multiples fractures du pied. Ces lésions ont visiblement laissé des séquelles qualifiées par certains des médecins d'algodystrophie. Or, depuis 1993, le terme de "syndrome douloureux régional complexe" (SDRC) est préféré à celui d'algodystrophie en raison de la pluralité des appellations de ce syndrome (maladie de Sudeck, causalgie, dystrophie neurovasculaire, etc.). Le SDRC est difficile à diagnostiquer et à traiter, deux catégories ont été définies: les SDRC de type I (sans lésion nerveuse) et de type II (avec lésion nerveuse). Il s'agit en fait d'un ensemble de symptômes atteignant plusieurs articulations d'un membre après un traumatisme ou une intervention chirurgicale, sans relation avec l'acte lui-même. Les critères de diagnostic insistent sur le caractère disproportionné des troubles par rapport à l'évènement déclenchant ainsi que sur l'existence de certains symptômes comme oedème, asymétrie de température, modification de la couleur de la peau, réduction de l'amplitude articulaire (cf. Anne Berquin, Progrès récents dans le diagnostic et le traitement du syndrome douloureux régional complexe, in: Revue Médicale Suisse n° 162 du 18 juin 2008). La pathophysiologie est mal connue et il n'existe pas encore de test de laboratoire permettant le diagnostic de SDRC. Celui-ci devrait reposer sur une anamnèse et un examen clinique soigneux (cf. Robert Fontaine/Sandrine Teuwis/Marie-Elisabeth Faymonville, Quoi de neuf dans le syndrome douloureux régional complexe [SDRC] encore appelé algoneurodystrophie ? in: Revue Douleur et Analgésie, vol. 23 n° 1/2010, p. 42s). Or, cet examen clinique manque en l'espèce et en dehors d'une description des symptômes, il n'existe pas de rapports sérieux qui établiraient explicitement en quoi consistent les limitations observées au pied autres que le status post-fracture et qu'elles en sont précisément les impacts sur la capacité de travail.</w:t>
      </w:r>
    </w:p>
    <w:p>
      <w:r>
        <w:rPr>
          <w:b/>
        </w:rPr>
        <w:t>E. 10.2</w:t>
      </w:r>
    </w:p>
    <w:p>
      <w:r>
        <w:t>En effet, il est impossible, en l'état du dossier, de comprendre si les restrictions à la capacité de travail sont consécutifs aux problèmes du rachis ou à ceux du membre inférieur gauche ou encore aux deux.</w:t>
      </w:r>
    </w:p>
    <w:p>
      <w:r>
        <w:rPr>
          <w:b/>
        </w:rPr>
        <w:t>E. 10.2.1</w:t>
      </w:r>
    </w:p>
    <w:p>
      <w:r>
        <w:t>Le Dr H._______ (E213) diagnostique une polypathologie invalidante. Selon lui la diminution de la capacité de travail est en relation avec le handicap lombaire et celui du membre inférieur gauche. A la question de savoir quels types d'activité l'assuré demeure capable d'exercer de façon régulière, il coche travaux lourds, travaux mi-lourds et travaux légers. Néanmoins, il exclut l'exercice de l'ancienne activité de gérant de restaurant. Contrairement aux allégations du recourant, il ne se prononce pas sur l'exigibilité d'un travail adapté (rubrique laissée vide) mais il estime qu'un tel travail ne pourrait être accompli à plein temps. De surcroît, il prend le soin de souligner qu'au regard de la législation du pays de résidence ce n'est que pour l'activité exercée en dernier lieu que l'invalidité est totale, soit un taux de 66%. Il est difficile de tirer des conclusions fiables de cette expertise qui n'est pas exempte de contradiction. De plus, elle a été complétée le 28 juillet 2010 mais se fonde sur un examen pratiqué le 19 août 2009, soit près d'un an plus tôt.</w:t>
      </w:r>
    </w:p>
    <w:p>
      <w:r>
        <w:rPr>
          <w:b/>
        </w:rPr>
        <w:t>E. 10.2.2</w:t>
      </w:r>
    </w:p>
    <w:p>
      <w:r>
        <w:t>Les certificats du Dr C._______ sont pour le moins sommaires et ne satisfont pas les exigences de la jurisprudence pour leur reconnaître une valeur probante. Il se contente le plus souvent de constater les pathologies dont souffre le recourant. Dans le dernier en date (21 novembre 2011), il répond aux questions de l'avocat et affirme qu'une activité adaptée plus légère n'est pas exigible, sans étayer plus avant son point de vue par exemple en énumérant les limitations fonctionnelles qu'il aurait observées. Dans l'attestation qu'il avait remplie en 2009 (pce 43) à l'usage des autorités françaises compétentes, il relevait une difficulté modérée pour la marche, le déplacement à l'extérieur et à l'intérieur, toute la motricité fine étant maintenue.</w:t>
      </w:r>
    </w:p>
    <w:p>
      <w:r>
        <w:rPr>
          <w:b/>
        </w:rPr>
        <w:t>E. 10.3</w:t>
      </w:r>
    </w:p>
    <w:p>
      <w:r>
        <w:t>Le Dr I._______ du SMR n'est guère plus convaincant. A sa décharge, le fait qu'il ne dispose que d'un dossier lacunaire pour se déterminer. Ceci dit, il lui revient précisément de diligenter les examens nécessaires à la détermination de l'état de santé du recourant et à l'évaluation de sa capacité de travail. Le Dr I._______ n'explique pas pourquoi malgré les pathologies qu'il qualifie de "troubles assez graves" (pce 39) une activité adaptée reste possible à 100%. Il ne donne par ailleurs aucun exemple de travaux que le recourant pourrait accomplir compte tenu de ses limitations fonctionnelles. Il affirme que l'ancienne activité n'est plus exigible depuis 2003 alors que celle-ci a en tous les cas encore été exercée de 2006 à 2008. Son appréciation du cas est succincte ce qui serait acceptable s'il s'agissait de résumer un état de fait clairement documenté dans le dossier. Mais, il s'écarte des deux seuls avis qui s'expriment sur la capacité de travail résiduelle du recourant, ceux du Dr H._______ et du Dr C._______, sans en donner le motif. De plus, aucun rapport ne figure au dossier sur l'évolution récente des troubles du rachis, si bien qu'il est difficile de simplement s'en tenir à la documentation de 2003 sur ce plan.</w:t>
      </w:r>
    </w:p>
    <w:p>
      <w:r>
        <w:rPr>
          <w:b/>
        </w:rPr>
        <w:t>E. 10.4</w:t>
      </w:r>
    </w:p>
    <w:p>
      <w:r>
        <w:t>En conclusion, si une capacité de travail résiduelle de travail subsiste malgré les atteintes à la santé, le Tribunal doit néanmoins constater qu'il ne possède pas les éléments clairs pour se faire une opinion circonstanciée de la mesure de cette capacité.</w:t>
      </w:r>
    </w:p>
    <w:p>
      <w:r>
        <w:rPr>
          <w:b/>
        </w:rPr>
        <w:t>E. 11.1</w:t>
      </w:r>
    </w:p>
    <w:p>
      <w:r>
        <w:t>Ainsi, le Tribunal de céans, en vertu de l'art. 61 PA, dont l'application se justifie au vu des lacunes manifestes de l'instruction lors du prononcé de la décision attaquée (ATF 137 V 210 consid. 4.4.1.4), doit admettre partiellement le recours, annuler la décision entreprise et renvoyer le dossier à l'OAIE afin qu'il réunisse par tous les moyens utiles notamment en diligentant une expertise bidisciplinaire neurologique et rhumatologique les informations nécessaires à une évaluation de la capacité de travail du recourant dans des activités de substitution raisonnablement exigibles, fixe le taux d'invalidité sur la base d'une comparaison actualisée des revenus et prononce, après avoir accordé au recourant le droit d'être entendu, une nouvelle décision.</w:t>
      </w:r>
    </w:p>
    <w:p>
      <w:r>
        <w:rPr>
          <w:b/>
        </w:rPr>
        <w:t>E. 11.2</w:t>
      </w:r>
    </w:p>
    <w:p>
      <w:r>
        <w:t>Il sied de préciser qu'il ne s'agit en aucune manière de reconnaître la décision française dont le recourant se prévaut puisque seul le droit interne détermine les modalités de l'évaluation du taux d'invalidité (cf. consid. 3.4) qui est, selon la loi suisse, une notion juridico-économique et non médicale. En d'autres termes, seules sont couvertes les pertes économiques (atteignant au moins 40% du revenu) liées à une atteinte à la santé physique ou psychique et non la maladie en tant que telle. En France, la situation est en partie différente. Par exemple, aux termes de l'art. L341-3 du code de sécurité sociale (créé par Décret 85-1353 1985-12-17 cf. art. 1 Journal officiel de la République française [JOFR] du 21 décembre 1985) l'état d'invalidité s'apprécie notamment en tenant compte de l'âge, des aptitudes et de la formation professionnelle, lesquels sont très clairement en droit suisse des facteurs étrangers à l'invalidité et en principe impropres à influencer l'octroi d'une rente (cf. consid. 8.4).</w:t>
      </w:r>
    </w:p>
    <w:p>
      <w:r>
        <w:rPr>
          <w:b/>
        </w:rPr>
        <w:t>E. 12.1</w:t>
      </w:r>
    </w:p>
    <w:p>
      <w:r>
        <w:t>Compte tenu de l'issu du litige, il n'est pas perçu de frais de procédure (art. 63 al. 1 et 2 PA). En conséquence, l'avance de frais de 400 francs déjà versée par le recourant lui sera restituée sur le compte bancaire qu'il aura désigné, une fois le présent arrêt entré en force.</w:t>
      </w:r>
    </w:p>
    <w:p>
      <w:r>
        <w:rPr>
          <w:b/>
        </w:rPr>
        <w:t>E. 12.2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 En l'espèce, le travail accompli par le représentant du recourant en instance de recours a consisté principalement dans la rédaction d'un recours de 13 pages, accompagné d'un bordereau de 7 pièces, d'un mémoire complémentaire de 16 pages et demie auquel était annexé 6 pièces, d'une réplique de 9 pages et demie. Il se justifie, eu égard à ce qui précède, de lui allouer ex aequo et bono une indemnité à titre de dépens de 2'500 francs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