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C-520/2012 vom 10. August 2012</w:t>
      </w:r>
    </w:p>
    <w:p>
      <w:r>
        <w:t>Bundesverwaltungsgericht, 2012-08-10, DE</w:t>
      </w:r>
    </w:p>
    <w:p>
      <w:r>
        <w:rPr>
          <w:b/>
        </w:rPr>
        <w:t xml:space="preserve">Quelle: </w:t>
      </w:r>
      <w:r>
        <w:t>https://mcp.opencaselaw.ch/entscheid/bvger_C-520_2012</w:t>
      </w:r>
    </w:p>
    <w:p>
      <w:r>
        <w:t>FR: TAF C-520/2012 du 10 août 2012</w:t>
      </w:r>
    </w:p>
    <w:p>
      <w:r>
        <w:t>IT: TAF C-520/2012 del 10 agosto 2012</w:t>
      </w:r>
    </w:p>
    <w:p>
      <w:pPr>
        <w:pStyle w:val="Heading2"/>
      </w:pPr>
      <w:r>
        <w:t>Regeste</w:t>
      </w:r>
    </w:p>
    <w:p>
      <w:r>
        <w:t>Krankenversicherung (Übriges)</w:t>
      </w:r>
    </w:p>
    <w:p>
      <w:pPr>
        <w:pStyle w:val="Heading2"/>
      </w:pPr>
      <w:r>
        <w:t>Erwägungen</w:t>
      </w:r>
    </w:p>
    <w:p>
      <w:r>
        <w:rPr>
          <w:b/>
        </w:rPr>
        <w:t>E. 1</w:t>
      </w:r>
    </w:p>
    <w:p>
      <w:r>
        <w:t>Die vorliegend zu beurteilende Beschwerde richtet sich gegen einen Entscheid des BAG betreffend Zuordnung einer Gemeinde zu einer Prämienregion der obligatorischen Krankenversicherung.</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in Bezug auf das Sachgebiet nach Art. 32 VGG vorliegt, was vorliegend nicht der Fall ist. Das BAG gehört zu den Behörden nach Art. 33 lit. d VGG und ist daher eine Vorinstanz des Bundesverwaltungsgerichts.</w:t>
      </w:r>
    </w:p>
    <w:p>
      <w:r>
        <w:rPr>
          <w:b/>
        </w:rPr>
        <w:t>E. 1.2</w:t>
      </w:r>
    </w:p>
    <w:p>
      <w:r>
        <w:t>Anfechtungsobjekt im Beschwerdeverfahren ist gemäss Art. 44 VwVG eine Verfügung im Sinne von Art. 5 VwVG. Das Vorliegen einer Verfügung ist Sachurteilsvoraussetzung im Beschwerdeverfahren. Ob die Prozessvoraussetzungen vorliegen und auf eine Beschwerde einzutreten ist, hat die entscheidende Instanz von Amtes wegen und mit freier Kognition zu prüfen (BVGE 2007/6 E. 1 mit Hinweisen). Liegt keine Verfügung vor, ist auf eine Beschwerde nicht einzutreten (Urteil des Bundesverwaltungsgerichts [BVGer] E-5667/2011 vom 4. April 2012 E. 4.3). Als Verfügungen gelten gemäss Art. 5 Abs. 1 VwVG Anordnungen der Behörden im Einzelfall, die sich auf öffentliches Recht des Bundes stützen und die Begründung, Änderung oder Aufhebung von Rechten und Pflichten (lit. a), die Feststellung des Bestehens, Nichtbestehens oder Umfanges von Rechten und Pflichten (lit. b) oder die Abweisung von Begehren auf Begründung, Änderung, Aufhebung oder Feststellung von Rechten oder Pflichten, oder Nichteintreten auf solche Begehren (lit. c) zum Gegenstand haben. Rechte und Pflichten werden in aller Regel erst durch die Konkretisierung eines Rechtssatzes durch eine Verfügung begründet (Ulrich Häfelin/ Georg Müller/Felix Uhlmann, Allgemeines Verwaltungsrecht, 6. Aufl., Zürich/St. Gallen 2010, Rz. 764). Eine Verfügung liegt vor, wenn eine Verwaltungshandlung die vom Verfügungsbegriff geforderten Strukturmerkmale aufweist (materieller Verfügungsbegriff, vgl. dazu BVGE 2009/43 E. 1.1.4). Eine Verfügung im Sinne von Art. 5 Abs. 1 VwVG ist ein individueller, an den Einzelnen gerichteter Hoheitsakt, der sich auf das öffentliche Recht des Bundes stützt und durch den eine konkrete verwaltungsrechtliche Rechtsbeziehung rechtsgestaltend oder feststellend in verbindlicher und erzwingbarer Weise geregelt wird. Nachfolgend ist anhand dieser Elemente des Verfügungsbegriffs zu prüfen, ob die Zuordnung zur Prämienregion Verfügungscharakter hat und somit anfechtbar ist.</w:t>
      </w:r>
    </w:p>
    <w:p>
      <w:r>
        <w:rPr>
          <w:b/>
        </w:rPr>
        <w:t>E. 1.2.1</w:t>
      </w:r>
    </w:p>
    <w:p>
      <w:r>
        <w:t>Eine (hoheitliche) Anordnung einer Behörde liegt vor, wenn namentlich Departemente, ihnen unterstellte Dienstabteilungen oder Anstalten in ihrem Wirkungskreis gegenüber Privaten einseitig und übergeordnet, also nicht konsensual, auftreten. Die Verfügung ist ein Akt der Anwendung des Rechts auf einen konkreten Fall und für einen individuellen Adressaten (Ulrich Häfelin/Georg Müller/Felix Uhlmann, a.a.O., Rz. 859). Wobei der Adressat nicht unbedingt ein Einzelner sein muss, sondern es kann sich dabei auch um eine Vielzahl von bestimmten oder zumindest bestimmbaren Adressaten handeln. Ist der Adressatenkreis einer konkreten Anordnung sehr gross und nicht individuell bestimmbar, handelt es sich um eine Allgemeinverfügung, welche jedoch in der Regel wie eine gewöhnliche Verfügung zu behandeln ist (vgl. Felix Uhlmann, in: Praxiskommentar VwVG, Waldmann/Weissen­berger [Hrsg.], Zürich 2009, Art. 5 N 41 ff.). Das BAG ist eine Behörde im obgenannten Sinn, die im Rahmen ihrer Kompetenz gemäss Art. 61 Abs. 2 KVG eine hoheitliche Anordnung, die Bestimmung der Prämienregionen, vorgenommen hat. Die Zuordnung zur Prämienregion richtet sich an die gemäss Art. 12 f. KVG zugelassenen Krankenversicherer der obligatorischen Krankenpflegeversicherung und gibt diesen für die Festsetzung der Krankenversicherungsprämien die gemäss Art. 61 Abs. 2 KVG vorgesehenen Einteilung in Regionen vor. Die Festsetzung der Regionen erfolgt durch das BAG einseitig und übergeordnet im Sinne der obgenannten Definition, weshalb damit das erste Element des Verfügungsbegriffs gegeben ist.</w:t>
      </w:r>
    </w:p>
    <w:p>
      <w:r>
        <w:rPr>
          <w:b/>
        </w:rPr>
        <w:t>E. 1.2.2</w:t>
      </w:r>
    </w:p>
    <w:p>
      <w:r>
        <w:t>Die Verfügung ist eine Anordnung in Anwendung von Verwaltungsrecht (Ulrich Häfelin/Georg Müller/Felix Uhlmann, a.a.O., Rz. 861). Die Einteilung der Prämienregionen erfolgt gestützt auf Art. 61 Abs. 2 KVG; es handelt sich somit um die Anwendung von (Bundes-)Ver­wal­tungsrecht (vgl. Felix Uhlmann, a.a.O., Art. 5 N 69 mit Hinweisen).</w:t>
      </w:r>
    </w:p>
    <w:p>
      <w:r>
        <w:rPr>
          <w:b/>
        </w:rPr>
        <w:t>E. 1.2.3</w:t>
      </w:r>
    </w:p>
    <w:p>
      <w:r>
        <w:t>Das Handeln einer Behörde erzeugt Rechtswirkungen, wenn die Behörde im Einzelfall ein Rechtsverhältnis (Begründung von Rechten und/oder Pflichten, Feststellung über Rechte und/oder Pflichten sowie die Abweisung oder das Nichteintreten auf entsprechende Begehren) regelt (vgl. Art. 5 Abs. 1 VwVG; vgl. Ulrich Häfelin/Georg Müller/Felix Uhlmann, a.a.O., Rz. 862). Art. 61 Abs. 2 KVG ist als Kann-Vorschrift ausgestaltet, weshalb die Versicherer die Wahl haben, ob sie die vorgegebene Einteilung anwenden wollen oder ob sie auf eine Prämienabstufung nach Regionen verzichten (vgl. Gebhard Eugster, in: Ulrich Meyer/Heinrich Koller/Georg Müller/Thierry Tanquerel/Ulrich Zimmerli [Hrsg.], Soziale Sicherheit, schweizerisches Bundesverwaltungsrecht, 2. Aufl., Basel/Genf/München 2007, Rz. 1004). Entscheiden sie sich aber für die Abstufung nach Regionen, so sind sie verpflichtet, sich an die vorgegebene Einteilung des BAG zu halten. Die Festlegung der Prämienregionen respektive die Zuteilung der Regionen zur entsprechenden Prämienstufe erzeugt somit keine direkten Rechtswirkungen, da die Versicherer ein Wahlrecht haben und nicht verpflichtet sind, die Einteilung anzuwenden.</w:t>
      </w:r>
    </w:p>
    <w:p>
      <w:r>
        <w:rPr>
          <w:b/>
        </w:rPr>
        <w:t>E. 1.2.4</w:t>
      </w:r>
    </w:p>
    <w:p>
      <w:r>
        <w:t>Erzwingbarkeit bedeutet, dass die Verfügung ohne weitere Präzisierung zwangsweise vollstreckt werden kann (Felix Uhlmann, a.a.O., Art. 5 N 113). Die Zuordnung bedarf - wie vorstehend bereits ausgeführt - der Konkretisierung durch die Versicherer, indem diese die vom BAG vorgegebene Zuordnung zur Prämienregion der individuellen Prämienfestsetzung zu Grunde legen und die Prämien entsprechend abstufen. Die vom BAG erlassene Zuordnung zur Prämienregion hat somit weder direkte Auswirkung auf die Versicherer noch auf die Versicherten und kann alleine nicht vollstreckt werden. Die vorliegende Rechtslage ist demzufolge mit der rechtlichen Qualifikation von Spitalplanung und Spitalliste zu vergleichen. In jenem Fall geht die Rechtsprechung davon aus, dass die Spitalplanung zwar die Grundlage für den Erlass der Spitalliste schafft, erstere jedoch nicht selbständig anfechtbar ist, da erst der Erlass der Spitalliste konkrete Rechte und Pflichten begründet (vgl. BRE vom 7. Mai 1997 betreffend kantonale Spitalplanung [96-41-0076] E. II. 2.2). Das Kriterium der Erzwingbarkeit ist demnach beim vorliegend angefochtenen Entscheid mangels Konkretisierung vorliegend nicht erfüllt.</w:t>
      </w:r>
    </w:p>
    <w:p>
      <w:r>
        <w:rPr>
          <w:b/>
        </w:rPr>
        <w:t>E. 1.2.5</w:t>
      </w:r>
    </w:p>
    <w:p>
      <w:r>
        <w:t>Zusammenfassend ist somit festzuhalten, dass die vom BAG erlassene Zuordnung zur Prämienregion nicht alle Elemente des Verfügungsbegriffs enthält, weshalb sie nicht als Verfügung im Sinne von Art. 5 Abs. 1 lit. a VwVG zu qualifizieren ist. Daher liegt auch - entgegen der Meinung des BAG - keine Allgemeinverfügung vor, da diese grundsätzlich den Regeln der Verfügung folgt und ebenfalls unter den Begriff von Art. 5 VwVG fällt; jene unterscheidet sich lediglich von individuell-konkreten Anordnungen durch den Adressatenkreis, welcher grösser und individuell nicht bestimmt ist (vgl. Felix Uhlmann, in: Praxiskommentar VwVG, Waldmann/Weissenberger (Hrsg.), Zürich 2009, Art. 5 N 43; Pierre Tschannen/Ulrich Zimmerli/Markus Müller, Allgemeines Verwaltungsrecht, 3. Aufl., Bern 2009, § 28 Rz. 50; Ulrich Häfelin/Georg Müller/Felix Uhlmann, a.a.O., Rz. 923; Tobias Jaag, Die Allgemeinverfügung im schweizerischen Recht, in: Schweizerisches Zentralblatt für Staats- und Verwaltungsrecht [ZBl] 85/1984 S. 433 ff.). Der Entscheid über die Zuordnung zur Prämienregion ist somit nicht anfechtbar.</w:t>
      </w:r>
    </w:p>
    <w:p>
      <w:r>
        <w:rPr>
          <w:b/>
        </w:rPr>
        <w:t>E. 1.3</w:t>
      </w:r>
    </w:p>
    <w:p>
      <w:r>
        <w:t>Vorliegend wurde durch die Beschwerdeführerin allerdings nicht der ursprüngliche Entscheid über die Zuordnung zur Prämienregion, sondern der vom BAG als "Feststellungsverfügung" bezeichnete Entscheid, welcher auf Ersuchen der Beschwerdeführerin ergangen war, angefochten. Es ist nachfolgend zu prüfen, ob sich dadurch in Bezug auf die Anfechtbarkeit etwas ändert.</w:t>
      </w:r>
    </w:p>
    <w:p>
      <w:r>
        <w:rPr>
          <w:b/>
        </w:rPr>
        <w:t>E. 1.3.1</w:t>
      </w:r>
    </w:p>
    <w:p>
      <w:r>
        <w:t>Stellt eine Behörde für einen konkreten Einzelfall lediglich fest, welches die konkrete Rechtslage ist, ohne im Einzelnen Rechte und Pflichten zu begründen, zu ändern oder aufzuheben, liegt eine Feststellungsverfügung vor (Markus Müller, in: Auer/Müller/Schindler (Hrsg.), Kommentar zum Bundesgesetz über das Verwaltungsverfahren (VwVG), Zürich 2008, Art. 5 Rz. 57; Ulrich Häfelin/Georg Müller/Felix Uhlmann, a.a.O., Rz. 895). Die Feststellungsverfügung hat stets individuelle und konkrete Rechte und Pflichten zum Gegenstand; nicht feststellungsfähig sind reine Tatsachen und Realakte sowie abstrakte Rechtsfragen (vgl. Markus Müller, a.a.O., Art. 5 Rz. 57 f.).</w:t>
      </w:r>
    </w:p>
    <w:p>
      <w:r>
        <w:rPr>
          <w:b/>
        </w:rPr>
        <w:t>E. 1.3.2</w:t>
      </w:r>
    </w:p>
    <w:p>
      <w:r>
        <w:t>Wie bereits ausgeführt, ist die Zuordnung zur Prämienregion insbesondere deshalb nicht als Verfügung im Sinne von Art. 5 VwVG zu qualifizieren, weil sie keine konkreten Rechte und Pflichten begründet, ändert oder aufhebt. Demzufolge kann es sich auch bei einer nachträglichen Feststellung über die Zuordnung nicht um eine anfechtungsfähige Feststellungsverfügung handeln, zumal mit der Zuordnung eben gerade noch keine konkrete Änderung der Rechtslage erfolgt, sondern erst die Voraussetzung dafür geschaffen wird, dass die Versicherer in Anwendung dieser Vorgaben die Prämien festlegen. Somit ist auch die vom BAG erlassene "Feststellungsverfügung" kein taugliches Anfechtungsobjekt. Dasselbe würde gelten, wenn es sich beim Anfechtungsobjekt - entgegen der Bezeichnung durch die Vorinstanz - um eine Wiedererwägungsverfügung handeln würde. Da sich auch durch die Wiedererwägung eines Entscheids, der keinen Verfügungscharakter hat und nicht anfechtbar ist, in Bezug auf die Anfechtbarkeit nichts ändert. Das heisst, dass auch die Wiedererwägung eines nicht anfechtbaren Entscheids nicht anfechtbar ist.</w:t>
      </w:r>
    </w:p>
    <w:p>
      <w:r>
        <w:rPr>
          <w:b/>
        </w:rPr>
        <w:t>E. 1.4</w:t>
      </w:r>
    </w:p>
    <w:p>
      <w:r>
        <w:t>Zusammenfassend ist daher festzuhalten, dass das vorliegende Anfechtungsobjekt die Voraussetzungen eines anfechtbaren Entscheids nicht erfüllt, weshalb auf die dagegen eingereichte Beschwerde vom 27. Januar 2012 sowie auf den gestellten Verfahrensantrag nicht einzutreten ist.</w:t>
      </w:r>
    </w:p>
    <w:p>
      <w:r>
        <w:rPr>
          <w:b/>
        </w:rPr>
        <w:t>E. 2</w:t>
      </w:r>
    </w:p>
    <w:p>
      <w:r>
        <w:t>Zu befinden bleibt noch über die Verfahrenskosten und eine allfällige Parteientschädigung.</w:t>
      </w:r>
    </w:p>
    <w:p>
      <w:r>
        <w:rPr>
          <w:b/>
        </w:rPr>
        <w:t>E. 2.1</w:t>
      </w:r>
    </w:p>
    <w:p>
      <w:r>
        <w:t>Gemäss Art. 63 Abs. 1 VwVG werden die Verfahrenskosten in der Regel der unterliegenden Partei auferlegt.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Bei diesem Ausgang des Verfahrens sind der unterliegenden Beschwerdeführerin die Kosten aufzuerlegen. Vorliegend handelt es sich - wie auch die Beschwerdeführerin in ihrer Beschwerde einräumt - um eine Streitigkeit, die die Beschwerdeführerin in ihren vermögensrechtlichen Interessen tangiert. Deshalb ist die Beschwerdeführerin als Gemeinwesen ausnahmsweise kostenpflichtig. Die Kosten sind unter Berücksichtigung des Umfangs und der Schwierigkeit der Streitsache (vgl. Art. 63 Abs. 4bis VwVG) auf Fr. 2'000.-- festzulegen und sind mit dem geleisteten Kostenvorschuss in der Höhe von Fr. 4'000.-- zu verrechnen. Der Rest (Fr. 2'000.--) ist der Beschwerdeführerin auf ein von ihr bekannt zu gebendes Konto zurückzuerstatten.</w:t>
      </w:r>
    </w:p>
    <w:p>
      <w:r>
        <w:rPr>
          <w:b/>
        </w:rPr>
        <w:t>E. 2.2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Dem BAG ist als obsiegender Vorinstanz somit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