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C-5206/2013 vom 20. Februar 2015</w:t>
      </w:r>
    </w:p>
    <w:p>
      <w:r>
        <w:t>Bundesverwaltungsgericht, 2015-02-20, DE</w:t>
      </w:r>
    </w:p>
    <w:p>
      <w:r>
        <w:rPr>
          <w:b/>
        </w:rPr>
        <w:t xml:space="preserve">Quelle: </w:t>
      </w:r>
      <w:r>
        <w:t>https://mcp.opencaselaw.ch/entscheid/bvger_C-5206_2013</w:t>
      </w:r>
    </w:p>
    <w:p>
      <w:r>
        <w:t>FR: TAF C-5206/2013 du 20 février 2015</w:t>
      </w:r>
    </w:p>
    <w:p>
      <w:r>
        <w:t>IT: TAF C-5206/2013 del 20 febbraio 2015</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52 Abs. 1 VwVG). Als Adressat der angefochtenen Verfügung vom 16. August 2013 (act. 54 und 55) ist der Beschwerdeführer besonders berührt und hat ein schutzwürdiges Interesse an deren Aufhebung oder Änderung (vgl. Art. 48 Abs. 1 VwVG). Nachdem auch der Kostenvorschuss innert Frist geleistet worden ist (B-act. 7), ergibt sich zusammenfassend, dass sämtliche Prozessvoraussetzungen erfüllt sind. Auf die Beschwerde ist daher einzutreten.</w:t>
      </w:r>
    </w:p>
    <w:p>
      <w:r>
        <w:rPr>
          <w:b/>
        </w:rPr>
        <w:t>E. 1.4.1</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(BGE 131 V 164 E. 2.1; SVR 2010 BVG Nr. 14 S. 56 E. 4.1). Streitgegenstand bildet das auf Grund der Beschwerdebegehren tatsächlich angefochtene Rechtsverhältnis. Anfechtungs- und Streitgegenstand beziehen sich auf ein (materielles) Rechtsverhältnis, sei es auf eines (z.B. Rentenanspruch), sei es auf mehrere Rechtsverhältnisse (z.B. Eingliederungs- und Rentenanspruch). Bezieht sich also die Beschwerde nur auf einzelne der durch die Verfügung bestimmten Rechtsverhältnisse, gehören die nicht beanstandeten - verfügungsweise festgelegten - Rechtsverhältnisse zwar wohl zum Anfechtungs-, aber nicht zum Streitgegenstand (BGE 125 V 413 E. 2a).</w:t>
      </w:r>
    </w:p>
    <w:p>
      <w:r>
        <w:rPr>
          <w:b/>
        </w:rPr>
        <w:t>E. 1.4.2</w:t>
      </w:r>
    </w:p>
    <w:p>
      <w:r>
        <w:t>Anfechtungsobjekt bildet die Verfügung der Vorinstanz vom 16. August 2013 (act. 54 und 55). Streitig und zu prüfen ist, ob die Vorinstanz zu Recht vom 19. März 2012 als Anmeldedatum ausgegangen ist resp. ob die IV-Rente korrekterweise erst ab dem 1. September 2012 zur Ausrichtung gelangen kann.</w:t>
      </w:r>
    </w:p>
    <w:p>
      <w:r>
        <w:rPr>
          <w:b/>
        </w:rPr>
        <w:t>E. 1.4.3</w:t>
      </w:r>
    </w:p>
    <w:p>
      <w:r>
        <w:t>Nicht streitig und vorliegend nicht zu prüfen ist, dass der Beschwerdeführer seit dem 7. April 2007 in sämtlichen Tätigkeiten vollständig arbeitsunfähig ist, was sich mit Blick auf den schlüssigen und beweiskräftigen Bericht des Regionalen Ärztlichen Dienstes Rhone vom 6. Juni 2013 (act. 43; vgl. hierzu Urteile des Bundes­gerichts 9C_323/2009 vom 14. Juli 2009 [publiziert in SVR 2009 IV Nr. 56] E. 4.3.1 mit Hinweisen und 9C_1059/2009 vom 4. August 2010 E. 1.2).) nicht beanstanden lässt. Nicht streitig ist demnach auch, dass die einjährige gesetzliche Wartezeit am 7. April 2008 abgelaufen bzw. in diesem Zeitpunkt der Versicherungsfall eingetreten war.</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ist Staatsangehöriger der Republik Serbien und wohnt in seiner Heimat.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(im Folgenden: Abkommen; BGE 126 V 203 E. 2b, 122 V 382 E. 1, 119 V 101 E. 3). Zwischenzeitlich hat die Schweiz mit Nachfolgestaaten des ehemaligen Jugoslawiens (Kroatien, Slowenien, Mazedonien), nicht aber mit Serbien oder mit dem als Staat anerkannten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AHV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215 E. 3.1.1, 131 V 11 E. 1), sind die Leistungsansprüche für die Zeit ab dem 1. Januar 2008 nach den neuen Normen zu prüfen. Diese Lösung stellt zufolge ihres allgemein gültigen Bedeutungsgehalts einen für alle Rechtsverhältnisse - und somit auch für Dauerleistungen - geltenden intertemporalrechtlichen Grundsatz auf (BGE 130 V 445 E. 1.2.1; SVR 2010 IV Nr. 59 S. 181 E. 3.1). Im vor­liegenden Verfahren fin­den demnach grundsätzlich jene Vor­schriften Anwendung, die spätestens beim Erlass der Verfü­gung vom 16. August 2013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(16. August 2013) und -inhalt kommen auch die Normen des vom Bundesrat auf den 1. Januar 2012 in Kraft gesetzten ersten Teils der 6. IV-Revision (IV-Revision 6a) zur Anwendung (vgl. E. 2.8 hiernach).</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 bleibend erwerbsunfähig geworden ist (Dauerinvalidität, Art. 7 ATSG) oder während eines Jahres ohne wesent­lichen Unterbruch durchschnittlich mindestens zu 40 % arbeitsunfähig war (lang dauernde Krankheit bzw. labiler Gesundheitszustand, Art. 6 ATSG, vgl. BGE 121 V 264 E. 5 und 6).</w:t>
      </w:r>
    </w:p>
    <w:p>
      <w:r>
        <w:rPr>
          <w:b/>
        </w:rPr>
        <w:t>E. 2.5</w:t>
      </w:r>
    </w:p>
    <w:p>
      <w:r>
        <w:t>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zu Art. 28 Abs. 1ter IVG entsteht bei Versicherten im Aus­land der Rentenanspruch nach Art. 29 Abs. 1 lit. b und Art. 28 Abs. 1 IVG (jeweils in der bis 31. Dezember 2007 geltenden Fassung) nur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im Wesentlichen gleichen Bestimmung in Art. 29 Abs. 4 IVG (gültig ab 1. Januar 2008) festzuhalten. Vorbehalten bleibt eine abweichende staatsvertragliche Regelung (vgl. BGE 130 V 253). Eine solche liegt vorliegend allerdings nicht vor. Vielmehr sieht Art. 8 Bst. e des Abkommens ausdrücklich vor, dass ordentliche (schweizerische) Invalidenrenten für Versicherte, die weniger als zur Hälfte invalid sind, jugoslawischen (bzw. heute u.a. serbischen) Staatsangehörigen nur gewährt werden, solange sie ihren Wohnsitz in der Schweiz haben.</w:t>
      </w:r>
    </w:p>
    <w:p>
      <w:r>
        <w:rPr>
          <w:b/>
        </w:rPr>
        <w:t>E. 2.6</w:t>
      </w:r>
    </w:p>
    <w:p>
      <w:r>
        <w:t>Meldet sich eine versicherte Person mehr als zwölf Monate nach Ent­stehen des Anspruchs an, werden Leistungen lediglich für die zwölf der Anmeldung vorangehenden Monate ausgerichtet (Art. 48 Abs. 2 aIVG). Art. 29 Abs. 1 IVG (gültig ab 1. Januar 2008) sieht vor, dass der Renten­anspruch frühestens nach Ablauf von sechs Monaten nach Geltend­machung des Leistungsanspruchs nach Art. 29 Abs. 1 ATSG, jedoch frühestens im Monat, der auf die Vollendung des 18. Altersjahrs folgt, ent­steht.</w:t>
      </w:r>
    </w:p>
    <w:p>
      <w:r>
        <w:rPr>
          <w:b/>
        </w:rPr>
        <w:t>E. 2.7</w:t>
      </w:r>
    </w:p>
    <w:p>
      <w:r>
        <w:t>Wie zuvor ausgeführt (E. 2.6 hiervor), wird auf den Zeitpunkt der An­meldung abgestellt. Massgebend ist demnach die Einreichung des Gesuchs beim Versicherungsträger.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Urteil des Bundesgerichts C 272/03 vom 9. Juli 2004 E. 2.3).</w:t>
      </w:r>
    </w:p>
    <w:p>
      <w:r>
        <w:rPr>
          <w:b/>
        </w:rPr>
        <w:t>E. 2.8</w:t>
      </w:r>
    </w:p>
    <w:p>
      <w:r>
        <w:t>Laut Art. 20 des Abkommens gelten Gesuche, Erklärungen und Rechtsmittel, die innerhalb einer bestimmten Frist bei einer Stelle eines der beiden Vertragsstaaten einzureichen sind, als fristgerecht eingereicht, wenn sie innert dieser Frist bei einer entsprechenden Stelle des anderen Staates eingereicht werden. In diesem Fall leitet diese Stelle die Gesuche, Erklärungen und Rechtsmittel unverzüglich an die zuständige Stelle des ersten Staates weiter. Gemäss Art. 4 Abs. 1 der Verwaltungsvereinbarung ist das Leistungsgesuch bei der zuständigen Landesanstalt einzureichen. Unter Abs. 3 ist zudem ausgeführt, dass die zuständige Landesanstalt das Datum des Eingangs auf dem Rentengesuch vermerkt.</w:t>
      </w:r>
    </w:p>
    <w:p>
      <w:r>
        <w:rPr>
          <w:b/>
        </w:rPr>
        <w:t>E. 3.1</w:t>
      </w:r>
    </w:p>
    <w:p>
      <w:r>
        <w:t>Der Beschwerdeführer beanstandet, dass der Anmeldezeitpunkt für das Rentengesuch von der Vorinstanz nicht korrekt berücksichtigt worden sei. Er ist der Auffassung, dass das auf dem Formular YU/CH 4 auf Seite 1 rechts handschriftlich vermerkte Datum - der 25. Februar 2008 - als Anmeldedatum zu gelten hat. Die Vorinstanz erachtet den 19. März 2012 als Datum der Anmeldung.</w:t>
      </w:r>
    </w:p>
    <w:p>
      <w:r>
        <w:rPr>
          <w:b/>
        </w:rPr>
        <w:t>E. 3.2.1</w:t>
      </w:r>
    </w:p>
    <w:p>
      <w:r>
        <w:t>Mit Schreiben vom 4. Januar 2010 gelangte der Rechtsvertreter des Beschwerdeführers an die SAK und teilte dieser mit, er habe beim zuständigen Versicherungsträger in Belgrad den Rentenantrag gestellt resp. stelle einen solchen gleichzeitig mit diesem Schreiben (act. 1). Ferner wurde mit dieser Eingabe, welche überdies den Betreff "Zuerkennung der Invalidenrente und Feststellung des Versicherungsverlaufs" enthält, zweifelsfrei der Anmeldewillen kundgetan, denn für die Vorinstanz war es unter diesen Umständen erkennbar, dass der Beschwerdeführer Rentenleistungen beanspruchte, d.h. den Willen zum Ausdruck brachte, sich darum zu "bewerben" (vgl. Ueli Kieser, ATSG-Kommentar, 2. Auflage, Zürich/Basel/Genf 2009, Rz. 8 ff. zu Art. 29 Abs. 1 ATSG). Somit würde diese Eingabe darauf schliessen lassen, dass der Beschwerdeführer das Leistungsbegehren spätestens am 4. Januar 2010 beim serbischen Sozialversicherungsträger eingereicht bzw. der IVSTA bereits im Januar 2010 mindestens eine (nicht formgerechte) Anmeldung des Beschwerdeführers im Sinne von Art. 29 Abs. 3 ATSG vorgelegen hatte (vgl. E. 2.7 hiervor). Die IVSTA bestätigte denn auch mit Schreiben vom 1. März 2010 den Eingang des oben erwähnten Schreibens und wies darauf hin, dass das beim zuständigen heimatlichen Versicherungsträger einzureichende, vollständig ausgefüllte und unterschriebene Anmeldeformular durch die Verbindungsstelle innert 90 Tagen bestätigt werden sollte; widrigenfalls könne das Schreiben nicht mehr als Antragsdatum berücksichtigt werden (act. 1 [Beilagen: act. 2 bis 4]). In der Folge gelangte der serbische Sozialversicherungsträger mit Schreiben vom 13. April 2010 an die IVSTA und verlangte von dieser die Beantwortung von im Zusammenhang mit der beantragen Invalidenrente stehende Fragen (act. 6).</w:t>
      </w:r>
    </w:p>
    <w:p>
      <w:r>
        <w:rPr>
          <w:b/>
        </w:rPr>
        <w:t>E. 3.2.2</w:t>
      </w:r>
    </w:p>
    <w:p>
      <w:r>
        <w:t>Indem sich der Beschwerdeführer auf dem von der Schweizerischen Ausgleichskasse dem serbischen Sozialversicherungsträger zur Verfügung gestellten Anmeldeformular YU/CH 4 angemeldet hatte, wurde Art. 4 Abs. 2 der Verwaltungsvereinbarung beachtet. In Anwendung von Art. 4 Abs. 3 und 4 der Verwaltungsvereinbarung wurde auf diesem Formular auf Seite 1 rechts als Empfangsdatum der 25. Februar 2008 vermerkt (act. 15; vgl. hierzu auch Urteil des Bundesverwaltungsgerichts C-8673/2010 vom 9. August 2012 E. 4.2.2). Dieses Datum kann jedoch entgegen den Vorbringen des Rechtsvertreters des Beschwerdeführers nicht unbesehen als Anmeldedatum gelten; dies insbesondere unter dem Aspekt, dass der Antrag erst beinahe vier Jahre später am 21. Januar 2012 vom serbischen Sozialversicherungsträger, welcher die Vollständigkeit und Richtigkeit der Angaben des Beschwerdeführers bestätigt hat, und nach über vier Jahren am 19. März 2012 vom Rechtsvertreter des Versicherten unterzeichnet worden war. An diesem Ergebnis vermag auch der vom Rechtsvertreter in seiner Replik vom 15. November 2013 erwähnte serbische Bescheid vom 10. Februar 2012 (act. 25; B-act. 16 [Übersetzung]), mit welchem dem Beschwerdeführer mit Wirkung ab 24. November 2008 Geldleistungen zugesprochen worden waren, nichts zu ändern, da das Datum der Anmeldung für eine serbische Rente in Anwendung des Abkommens und Art. 4 der Verwaltungsvereinbarung nicht eo ipso für ein Gesuch um eine Schweizer Rente gilt. Hinzu kommt, dass in diesem Entscheid als Anmeldedatum zwar der 25. Februar 2008 genannt wurde, dieses Datum jedoch handschriftlich auf den 24. November 2008 korrigiert wurde. Demnach kann auch aufgrund des Bescheids vom 10. Februar 2012 nicht mit überwiegender Wahrscheinlichkeit (vgl. hierzu bspw. BGE 126 V 353 E. 5b) vom Anmeldedatum 25. Februar 2008 ausgegangen werden. Aus den bereits genannten Gründen und weil es sich beim Dokument vom 19. Juli 2011 (act. 29) nicht um eine behördliche, sondern um eine fachärztliche Stellungnahme handelt, kann auch auf das darin erwähnte Datum der Antragsstellung (25. Februar 2008) nicht abgestellt werden.</w:t>
      </w:r>
    </w:p>
    <w:p>
      <w:r>
        <w:rPr>
          <w:b/>
        </w:rPr>
        <w:t>E. 3.3</w:t>
      </w:r>
    </w:p>
    <w:p>
      <w:r>
        <w:t>Nach dem vorstehend Dargelegten ist aufgrund der vorliegenden Akten nicht rechtsgenüglich erstellt, per welchen Datums der Beschwerdeführer das Leistungsbegehren beim serbischen Sozialversicherungsträger tatsächlich eingereicht hat. Unter diesen Umständen hätte die Vorinstanz in Nachachtung des Untersuchungsgrundsatzes (vgl. E. 1.6 hiervor) beim serbischen Sozialversicherungsträger das effektive Datum der Anmeldung für Leistungen der schweizerischen Invalidenversicherung in Erfahrung bringen müssen, zumal ihr dies durchaus möglich gewesen wäre und verschiedene Hinweise auf ein früheres Anmeldedatum als das von der Vorinstanz angenommene vom 19. März 2012 vorlagen (act. 15, 25 und 29; vgl. Art. 40 der Verwaltungsvereinbarung; vgl. hierzu auch Urteile des Bundesverwaltungsgerichts C-6055/2010 E. 4.2.3 und C-7830/2008 E. 4.6). Unter den gegebenen Umständen sind zusätzliche Beweismassnahmen zwingend notwendig.</w:t>
      </w:r>
    </w:p>
    <w:p>
      <w:r>
        <w:rPr>
          <w:b/>
        </w:rPr>
        <w:t>E. 4</w:t>
      </w:r>
    </w:p>
    <w:p>
      <w:r>
        <w:t>Aufgrund der vorstehenden Erwägungen ist zusammenfassend festzuhalten, dass die Verfügung vom 16. August 2013 auf einem unvollständig ermittelten Sachverhalt beruht und somit mangelhaft ist, da die Vorinstanz dem Untersuchungsgrundsatz (vgl. E. 1.6 hiervor) nicht nachgekommen ist respektive den massgeblichen Anmeldezeitpunkt nicht in korrekter Weise ermittelt hat; eine rechtskonforme Beurteilung des Beginns des Rentenanspruchs ist somit nicht möglich. Die Beschwerde ist daher gutzuheissen und die angefochtene Verfügung aufzuheben. Die Angelegenheit ist an die Vor­instanz zurückzuweisen, damit diese im Sinne der Erwägungen den Zeitpunkt der Anmeldung beim serbischen Sozialversicherungsträger abkläre und anschliessend neu über den Beginn des Rentenanspruchs ver­füge.</w:t>
      </w:r>
    </w:p>
    <w:p>
      <w:r>
        <w:rPr>
          <w:b/>
        </w:rPr>
        <w:t>E. 5</w:t>
      </w:r>
    </w:p>
    <w:p>
      <w:r>
        <w:t>Zu befinden bleibt über die Verfahrenskosten und eine allfällige Parteientschädigung.</w:t>
      </w:r>
    </w:p>
    <w:p>
      <w:r>
        <w:rPr>
          <w:b/>
        </w:rPr>
        <w:t>E. 5.1</w:t>
      </w:r>
    </w:p>
    <w:p>
      <w:r>
        <w:t>Weder der unterliegenden Vorinstanz noch dem obsiegenden Be­schwerdeführer sind Verfahrenskosten aufzuerlegen (Art. 63 Abs. 1 und 2 VwVG). Diesem ist der von ihm geleistete Kostenvorschuss in der Höhe von Fr. 400.- nach Eintritt der Rechtskraft dieses Urteils zurückzuerstatten.</w:t>
      </w:r>
    </w:p>
    <w:p>
      <w:r>
        <w:rPr>
          <w:b/>
        </w:rPr>
        <w:t>E. 5.2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800.-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