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C-5193/2011 vom 10. August 2012</w:t>
      </w:r>
    </w:p>
    <w:p>
      <w:r>
        <w:t>Bundesverwaltungsgericht, 2012-08-10, DE</w:t>
      </w:r>
    </w:p>
    <w:p>
      <w:r>
        <w:rPr>
          <w:b/>
        </w:rPr>
        <w:t xml:space="preserve">Quelle: </w:t>
      </w:r>
      <w:r>
        <w:t>https://mcp.opencaselaw.ch/entscheid/bvger_C-5193_2011</w:t>
      </w:r>
    </w:p>
    <w:p>
      <w:r>
        <w:t>FR: TAF C-5193/2011 du 10 août 2012</w:t>
      </w:r>
    </w:p>
    <w:p>
      <w:r>
        <w:t>IT: TAF C-5193/2011 del 10 agosto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Der Beschwerdeführer rügt eine Verletzung des rechtlichen Gehörs, weil er keine Möglichkeit gehabt habe, sich "spezifisch" zur Anordnung des Einreiseverbotes zu äussern.</w:t>
      </w:r>
    </w:p>
    <w:p>
      <w:r>
        <w:rPr>
          <w:b/>
        </w:rPr>
        <w:t>E. 3.2</w:t>
      </w:r>
    </w:p>
    <w:p>
      <w:r>
        <w:t>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 / Giorgio Malinverni / Michel Hottelier, Droit constitutionnel suisse Vol. II., Les droits fondamentaux, 2. Aufl., Bern 2006, S. 606 ff.; Benoit Bovay, Procédure administrative, Bern 2000, S. 207 ff.; Ulrich Häfelin / Georg Müller / Felix Uhlmann, Allgemeines Verwaltungsrecht, 6. vollständig überarbeitete Aufl., Zürich / St. Gallen 2010, Rz. 1672 ff.; Alfred Kölz / Isabelle Häner, Verwaltungsverfahren und Verwaltungsrechtspflege des Bundes, 2. Aufl., Zürich 1998, Rz. 129 ff. und 292 ff.; Jörg Paul Müller / 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w:t>
      </w:r>
    </w:p>
    <w:p>
      <w:r>
        <w:rPr>
          <w:b/>
        </w:rPr>
        <w:t>E. 3.3</w:t>
      </w:r>
    </w:p>
    <w:p>
      <w:r>
        <w:t>Die Migrationsbehörde des Kantons St. Gallen informierte den Beschwerdeführer am 31. März 2011 über ihre Absicht, beim BFM den Erlass einer Fernhaltemassnahme zu beantragen und gab ihm die Möglichkeit zur Stellungnahme. Der Beschwerdeführer machte davon Gebrauch und liess auf dem entsprechenden Formular festhalten, dass er zwar einen Fehler gemacht habe und verstehe, wenn gegen ihn ein Einreiseverbot verhängt werde. Seine Familie bleibe aber hier und er bitte deshalb, die Dauer der Massnahme "so kurz als möglich" anzusetzen. Von einer Ausweitung auf den gesamten Schengen-Raum sei Abstand zu nehmen.</w:t>
      </w:r>
    </w:p>
    <w:p>
      <w:r>
        <w:rPr>
          <w:b/>
        </w:rPr>
        <w:t>E. 3.4</w:t>
      </w:r>
    </w:p>
    <w:p>
      <w:r>
        <w:t>Der Beschwerdeführer äussert sich nicht zur Frage, was er unter einer "spezifischen" Äusserungsmöglichkeit versteht und weshalb die gewährte Form nicht genügend sein soll. In der vorgebrachten pauschalen Form kann seine Rüge nicht nachvollzogen werden. Dass ihm das rechtliche Gehör nicht durch die verfügende Behörde selbst gewährt wurde, ist nicht von Belang (vgl. Bernhard Waldmann / Jürg Bickel in: Bernhard Waldmann / Philippe Weissenberger, Praxiskommentar VwVG, Zürich 2009, Art. 30 N 16 und N 34, Urteil des Bundesverwaltungsgerichts C-6455/2009 vom 2. Februar 2010 E. 4.1 mit weiteren Hinweisen). Die Rüge erweist sich somit als unbegründet.</w:t>
      </w:r>
    </w:p>
    <w:p>
      <w:r>
        <w:rPr>
          <w:b/>
        </w:rPr>
        <w:t>E. 4.1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4.2</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und ganz allgemein dann vor, wenn gesetzliche Vorschriften oder behördliche Verfü­gungen missachtet werden.</w:t>
      </w:r>
    </w:p>
    <w:p>
      <w:r>
        <w:rPr>
          <w:b/>
        </w:rPr>
        <w:t>E. 4.3</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sich nament­lich auch aus der Konvention vom 4. November 1950 zum Schutze der Menschenrechte und Grundfreiheiten [EMRK, SR 0.101] ergeben können)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5</w:t>
      </w:r>
    </w:p>
    <w:p>
      <w:r>
        <w:t>Der Beschwerdeführer wurde - wie bereits erwähnt - der mehrfachen schweren Widerhandlungen gegen das Betäubungsmittelgesetz, der mehrfachen Geldwäscherei sowie der Wiederhandlung gegen das Waffengesetz schuldig gesprochen und zu einer Freiheitsstrafe von 44 Monaten verurteilt. Mit einer Delinquenz dieser Art ist unbestreitbar eine Verletzung der öffentlichen Sicherheit und Ordnung verbunden, was gemäss Art. 67 Abs. 2 Bst. a AuG als Fernhaltegrund gilt.</w:t>
      </w:r>
    </w:p>
    <w:p>
      <w:r>
        <w:rPr>
          <w:b/>
        </w:rPr>
        <w:t>E. 6.1</w:t>
      </w:r>
    </w:p>
    <w:p>
      <w:r>
        <w:t>Es ist im Folgenden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a.a.O., Rz. 613 ff.).</w:t>
      </w:r>
    </w:p>
    <w:p>
      <w:r>
        <w:rPr>
          <w:b/>
        </w:rPr>
        <w:t>E. 6.2</w:t>
      </w:r>
    </w:p>
    <w:p>
      <w:r>
        <w:t>Das Fehlverhalten des Beschwerdeführers wiegt aus präventiv-polizeilicher Sicht schwer. Ausländische Straftäter, die durch Verbreitung harter Drogen die Gesundheit anderer gefährden oder beeinträchtigen, sind nach Möglichkeit von der Schweiz fernzuhalten. Damit soll der weiteren Ausbreitung des verbotenen Handels mit Betäubungsmitteln entgegengewirkt werden. Aufgrund der relativen Häufigkeit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(zur strengen Praxis des Bundesgerichts vgl. BGE 125 II 521 E. 4a/aa und E. 4a/bb S. 526 ff., Urteile des Bundesgerichts 2C_768/2011 vom 4. Mai 2012 E. 4.3 und 2C_1029/2011 vom 10. April 2012 E. 3.3.1).</w:t>
      </w:r>
    </w:p>
    <w:p>
      <w:r>
        <w:rPr>
          <w:b/>
        </w:rPr>
        <w:t>E. 6.3.1</w:t>
      </w:r>
    </w:p>
    <w:p>
      <w:r>
        <w:t>Das massnahmeauslösende Fehlverhalten ist aber auch in subjekitiver Hinsicht nicht zu bagatellisieren. Auf Berufung gegen das erstinstanzliche Urteil hin hielt das Kantonsge­richt St. Gallen in seinem Urteil vom 2. März 2010 fest, das Ver­schulden des Beschwerdeführers wiege schwer. Er habe in einer ers­ten Phase im November 2007 so lange auf zwei Beteiligte eingeredet, bis diese sich bereit erklärt hätten, eine erhebliche Menge Drogen (nach Feststellung der ersten Instanz mindestens zwei Kilogramm Heroinge­misch) von Österreich in die Schweiz einzuführen. Dabei sei er von sich aus auf die beiden Personen (von denen eine arbeitslos und drogensüch­tig gewesen sei) zugegangen und habe ihnen eine Entschädigung versprochen. Der Beschwerdeführer selbst habe zur Weiterverbreitung die­ser Betäubungsmittel beigetragen, indem er davon insgesamt 370 Gramm an verschiedene Abnehmer verkauft bzw. übergeben habe. Diese Um­stände zeugten von einer beachtlichen kriminellen Energie. Dafür sei er als nichtsüchtiger Händler etwas oberhalb der mittleren Kategorie (Kategori­sierung von Peter Frei / Carlo Ranzoni in AJP B/1995 S. 1439 ff.) einzustufen, zumal im Wesentlichen nur eine grosse Handlung zur Dis­kussion stehe. Straferhöhend falle ein späterer, im September 2008 selb­ständig durchgeführter Transport von 298 Gramm Heroin ins Ge­wicht. Zu berücksichtigen seien weiter die zusätzlichen Verurteilungen we­gen mehrfacher Geldwäscherei (durch Transferierung des durch Drogen­handel erzielten Gewinnes in sein Heimatland) und wegen Widerhandlung gegen das Waffengesetz (durch unberechtigten Erwerb einer Faustfeuerwaffe). Strafmindernd wirkten sich sein Arbeitswille in der Vergangenheit, die sehr guten Führungsberichte der Strafanstalten, die Teilgeständigkeit und die stabilen familiären Verhältnisse aus (Erwägung Ziff. III. 3 des erwähnten Urteils).</w:t>
      </w:r>
    </w:p>
    <w:p>
      <w:r>
        <w:rPr>
          <w:b/>
        </w:rPr>
        <w:t>E. 6.3.2</w:t>
      </w:r>
    </w:p>
    <w:p>
      <w:r>
        <w:t>Vor dem aufgezeigten Hintergrund kann nicht ernsthaft in Frage gestellt werden, dass vom Fortbestand einer schwerwiegenden Gefahr für die öffentliche Sicherheit und Ordnung auszugehen ist, welche die Verhängung einer Fernhaltemassnahme von einer fünf Jahre überschreitenden Dauer rechtfertigt (vgl. Art. 67 Abs. 3 AuG). Der Beschwerdeführer war aus rein finanziellen Motiven bereit, durch Drogenhandel in beträchtlichem Umfang die Gesundheit einer Vielzahl von Menschen erheblichen Gefahren auszusetzen. Als selber nicht süchtiger Drogenhändler hat er aus ausschliesslich gewinnorientierten, egoistischen Beweggründen die physische Integrität bzw. Leib und Leben - mithin besonders schützenswerte Rechtsgüter - einer Vielzahl von Menschen gefährdet respektive verletzt. Dass dieses deliktische Verhalten nicht zur sonst integeren Person passen soll (wie der Beschwerdeführer für sich in Anspruch nehmen will), mag in gewisser Hinsicht auffallend sein, kann aber unter dem Gesichtspunkt der sicherheitspolizeilichen Gefahrenabwehr für sich allein nicht dazu führen, das aufgrund der Straftaten anzunehmende Gefahrenpotential ernsthaft in Frage zu stellen. Die Annahme einer ernsthaften Gefahr für die öffentliche Sicherheit und Ordnung setzt insbesondere nicht voraus, dass es sich beim betroffenen Ausländer um einen Wiederholungstäter handelt.</w:t>
      </w:r>
    </w:p>
    <w:p>
      <w:r>
        <w:rPr>
          <w:b/>
        </w:rPr>
        <w:t>E. 6.3.3</w:t>
      </w:r>
    </w:p>
    <w:p>
      <w:r>
        <w:t>Der Fortbestand einer ernsthaften Gefahr für die öffentliche Sicherheit und Ordnung lässt sich auch nicht damit in Frage stellen, dass sich der Beschwerdeführer im Strafvollzug wohlverhalten habe. Selbst das kantonale Amt für Justizvollzug hat in seiner Verfügung vom 18. Januar 2011 in diesem Zusammenhang aus strafrechtlicher Sicht festgehalten, dass aus dem korrekten Verhalten des Beschwerdeführers in den klaren Strukturen des Strafvollzugs noch nicht geschlossen werden könne, er werde sich inskünftig auch in Freiheit bewähren. Sein Vollzugsverhalten sei eher auf Anpassungsleistungen, als auf echte Einsicht zurück zu führen. Objektive Hinweise darauf, dass er Einsichten in das Unrecht seiner Taten gewonnen hätte und Reue zeigen würde, seien nicht ersichtlich (E. 3.c). Schliesslich kann der Beschwerdeführer auch nichts Besonderes aus dem Umstand ableiten, dass seit seiner Entlassung aus dem Strafvollzug schon mehr als ein Jahr vergangen ist. Über seine seitherige Lebensführung ist nichts aktenkundig und selbst im Falle einer gelungenen Reintegration in sozialer und beruflicher Hinsicht könnten in diesem kurzen Zeitraum noch keine verlässlichen Schlüsse in Bezug auf eine Veränderung des Gefährdungspotentials gezogen werden.</w:t>
      </w:r>
    </w:p>
    <w:p>
      <w:r>
        <w:rPr>
          <w:b/>
        </w:rPr>
        <w:t>E. 6.4.1</w:t>
      </w:r>
    </w:p>
    <w:p>
      <w:r>
        <w:t>Dem öffentlichen Interesse an einer Fernhaltung stellt der Beschwerdeführer sein privates Interesse an möglichst ungestörten Kontakten zu seiner in der Schweiz lebenden Familie gegenüber.</w:t>
      </w:r>
    </w:p>
    <w:p>
      <w:r>
        <w:rPr>
          <w:b/>
        </w:rPr>
        <w:t>E. 6.4.2</w:t>
      </w:r>
    </w:p>
    <w:p>
      <w:r>
        <w:t>Zu Recht beruft sich der Beschwerdeführer dabei nicht auf Ansprüche aus Art. 8 der Konvention vom 4. November 1950 zum Schutze der Menschenrechte und Grundfreiheiten (EMRK, SR 0.101) bzw. Art. 13 der Bundesverfassung der Schweizerischen Eidgenossenschaft vom 18. April 1999 (BV, SR 101). Zwar werden mit den entsprechenden Garantien auch Konstellationen abgedeckt, die keinen Zusammenhang mit einem Anwesenheitsanspruch haben (vgl. dazu Martin Bertschi / Thomas Gächter, Der Anwesenheitsanspruch aufgrund der Garantien des Privat- und Familienlebens, Schweizerisches Zentralblatt für Staats- und Verwaltungsrecht [ZBL], 2003, S. 241). Ein Eingriff in besagtes Grundrecht ist jedoch zulässig, soweit der Eingriff gesetzlich vorgesehen ist und in einer demokratischen Gesellschaft notwendig ist für die nationale und öffentliche Sicherheit, für das wirtschaftliche Wohl des Landes, zur Aufrechterhaltung der Ordnung, zur Verhütung von Straftaten, zum Schutz der Gesundheit oder der Moral oder zum Schutz der Rechte und Freiheiten anderer (Art. 8 Ziff. 2 EMRK; vgl. dazu im Einzelnen Jens Meyer-Ladewig, Europäische Menschenrechtskonvention, Handkommentar, 2. Auflage, Baden-Baden 2006, Rz. 37 ff. zu Art. 8 EMRK). Die Eingriffsvoraussetzungen sind vorliegend zweifellos gegeben.</w:t>
      </w:r>
    </w:p>
    <w:p>
      <w:r>
        <w:rPr>
          <w:b/>
        </w:rPr>
        <w:t>E. 6.4.3</w:t>
      </w:r>
    </w:p>
    <w:p>
      <w:r>
        <w:t>Zu Recht hat die Vorinstanz den Beschwerdeführer darauf aufmerksam gemacht, dass das Einreiseverbot nicht absolute Wirkung hat, von Gesetzes wegen vielmehr unter Vorbehalt der besonderen Bewilligung steht. Die verfügende Behörde kann die Wirksamkeit der Massnahme auf Gesuch hin aus humanitären oder anderen wichtigen Gründen vorübergehend aufheben (Art. 76 Abs. 5 AuG). Wenn der Beschwerdeführer einwendet, dass die mit dem Einreiseverbot verbundene Einschränkung dennoch unverhältnismässig sei, weil er zuvor während langen Jahren mit seiner Familie zusammengelebt habe und ein Besuch in Zukunft nur noch aus wichtigen Gründen stattfinden könne, so übersieht er zweierlei: Zum einen ist die Verwirklichung von Familienleben in der Schweiz nicht erst durch die Verhängung der Fernhaltemassnahme, sondern schon durch den Entzug der Niederlassungsbewilligung unmöglich geworden. Zum andern hat die Vorinstanz in der Angelegenheit des Beschwerdeführers wiederholt ihre Bereitschaft erklärt, den familiären Interessen mit Suspensionen Rechnung tragen zu wollen. Wenn der Beschwerdeführer geltend macht, die Erteilung einer solchen Suspension setze wichtige Gründe voraus und daraus sinngemäss auf eine zu grosse Einschränkung schliesst, so nimmt er auf spekulative Weise das mögliche Ergebnis einer Gesuchsbehandlung vorweg, die mit einer Verfügung endet und auf dem Rechtsmittelweg angefochten werden kann.</w:t>
      </w:r>
    </w:p>
    <w:p>
      <w:r>
        <w:rPr>
          <w:b/>
        </w:rPr>
        <w:t>E. 7</w:t>
      </w:r>
    </w:p>
    <w:p>
      <w:r>
        <w:t>Dass die vom Beschwerdeführer ausgehende Gefahr für die öffentliche Sicherheit und Ordnung als schwerwiegend qualifiziert werden kann und deshalb im Sinne von Art. 67 Abs. 3 AuG zur Verhängung einer mehr als fünfjährigen Fernhaltemassnahme berechtigt, wurde bereits erläutert (E. 6.3.2). Die Ansetzung der Gültigkeitsdauer scheint vorliegend nicht unverhältnismässig. Der anzunehmenden erheblichen Gefahr für die öffentliche Sicherheit und Ordnung ist nur dann wirksam zu begegnen, wenn der Beschwerdeführer gezwungen wird, seinen Lebensmittelpunkt auf mittlere Frist ausserhalb der Schweiz zu begründen. Tritt hinzu, dass der bisherige Aufenthaltskanton auf absehbare Zeit hin nicht mehr zu einer erneuten Aufenthaltsregelung Hand bieten wird und die Kinder des Beschwerdeführers inzwischen volljährig und entsprechend eigenständig sind, wenn es um die Pflege von Kontakten zum Vater geht.</w:t>
      </w:r>
    </w:p>
    <w:p>
      <w:r>
        <w:rPr>
          <w:b/>
        </w:rPr>
        <w:t>E. 8</w:t>
      </w:r>
    </w:p>
    <w:p>
      <w:r>
        <w:t>Eine wertende Gewichtung der sich gegenüberstehenden Interessen führt das Bundesverwaltungsgericht daher zum Schluss, dass die verhängte Fernhaltemassnahme von ihrem Grundsatz her und in der ausgesprochenen Dauer eine verhältnismässige und angemessene Massnahme zum Schutze der öffentlichen Sicherheit und Ordnung darstellt.</w:t>
      </w:r>
    </w:p>
    <w:p>
      <w:r>
        <w:rPr>
          <w:b/>
        </w:rPr>
        <w:t>E. 9</w:t>
      </w:r>
    </w:p>
    <w:p>
      <w:r>
        <w:t>Mit der angefochtenen Verfügung hat die Vorinstanz Bun­desrecht nicht verletzt und den rechtserheblichen Sachverhalt rich­tig und vollständig festgestellt; die Verfügung ist auch angemessen (Art. 49 VwVG). Die Beschwerde ist daher abzuweisen.</w:t>
      </w:r>
    </w:p>
    <w:p>
      <w:r>
        <w:rPr>
          <w:b/>
        </w:rPr>
        <w:t>E. 10</w:t>
      </w:r>
    </w:p>
    <w:p>
      <w:r>
        <w:t>Entsprechend dem Ausgang des Verfahrens sind dem Beschwerdeführer die Kos­ten aufzuerlegen (Art. 63 Abs. 1 VwVG i.V.m. Art. 1, Art. 2 und Art. 3 Bst. b des Reglements vom 21. Februar 2008 über die Kosten und Entschä­digungen vor dem Bundesverwaltungsgericht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