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C-5190/2009 vom 25. Mai 2011</w:t>
      </w:r>
    </w:p>
    <w:p>
      <w:r>
        <w:t>Bundesverwaltungsgericht, 2011-05-25, DE</w:t>
      </w:r>
    </w:p>
    <w:p>
      <w:r>
        <w:rPr>
          <w:b/>
        </w:rPr>
        <w:t xml:space="preserve">Quelle: </w:t>
      </w:r>
      <w:r>
        <w:t>https://mcp.opencaselaw.ch/entscheid/bvger_C-5190_2009</w:t>
      </w:r>
    </w:p>
    <w:p>
      <w:r>
        <w:t>FR: TAF C-5190/2009 du 25 mai 2011</w:t>
      </w:r>
    </w:p>
    <w:p>
      <w:r>
        <w:t>IT: TAF C-5190/2009 del 25 maggio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Am 1. Januar 2008 trat das zweite Paket der Asylgesetzrevision vom 16. Dezember 2005 in Kraft, mit dem durch entsprechende Änderungen des Asylgesetzes und des auf denselben Zeitpunkt in Kraft gesetzten neuen Bundesgesetzes vom 16. Dezember 2005 über die Ausländerin­nen und Ausländer (AuG, SR 142.20) ein Systemwechsel von der individu­ellen Sicherheitsleistungs- und Rückerstattungspflicht (SiRück-Sys­tem) zur Sonderabgabe vollzogen wurde.</w:t>
      </w:r>
    </w:p>
    <w:p>
      <w:r>
        <w:rPr>
          <w:b/>
        </w:rPr>
        <w:t>E. 3.2</w:t>
      </w:r>
    </w:p>
    <w:p>
      <w:r>
        <w:t>Das SiRück-System wurde mit dem dringlichen Bundesbeschluss über das Asylverfahren vom 22. Juni 1990 (AS 1990 938) für Personen des Asylrechts und mit dem Bundesbeschluss über Sparmassnahmen im Asyl- und Ausländerbereich vom 16. Dezember 1994 (AS 1994 2874) für vorläufig Aufgenommene auf Gesetzesebene eingeführt. Seine Grund­sätze - soweit für die vorliegende Streitsache von Bedeutung - stellten sich per 31. Dezember 2007 wie folgt dar: Der 2. Abschnitt des 5. Kapitels des Asylgesetzes in seiner Fassung vom 26. Juni 1998, die bis 31. Dezember 2007 in Geltung stand (AS 1999 2262), regelte die Rückerstattungs- und Sicherheitsleistungspflicht von Per­sonen, die sich gestützt auf das Asylgesetz in der Schweiz aufhielten. Gemäss Art. 85 Abs. 1 AsylG (in der Fassung vom 26. Juni 1998) hatten sie - soweit zumutbar - die Kosten der Fürsorge, der Ausreise und des Voll­zugs sowie die Kosten des Rechtsmittelverfahrens zurückzuerstatten. Asylsuchende und Schutzbedürftige ohne Aufenthaltsbewilligung waren ge­mäss Art. 86 AsylG (in der Fassung vom 26. Juni 1998) darüber hinaus verpflichtet, für die Rückerstattung der vorerwähnten Kosten Sicherheiten zu leisten. Zu diesem Zweck richtete der Bund (individuelle) Sicherheitskon­ten ein, die durch Lohnabzüge und Vermögenswertabnah­men geäufnet wurden. Die Sicherheitsleistungen wurden gemäss Art. 87 Abs. 1 AsylG (in der Fassung vom 26. Juni 1998) aufgrund einer individuel­len Abrechnung über die rückerstattungspflichtigen Kosten ausbe­zahlt, wenn die sicherheitsleistungspflichtige Person die Schweiz end­gültig verliess (Bst. a), sie als Asylsuchender oder Flüchtling eine Aufent­haltsbewilligung erhielt (Bst. b) oder als Schutzbedürftiger eine Nie­derlassungsbewilligung erhielt oder sich seit mindestens zehn Jahren in der Schweiz aufhielt (Bst. c). Man spricht in diesem Zusammenhang von der Schlussabrechnung über das Sicherheitskonto. Soweit im Rahmen der Schlussabrechnung die bezogenen Fürsorgeleistungen aus den Mit­teln des Sicherheitskontos nicht gedeckt werden konnten, gelangten die or­dentlichen Regeln über die Rückerstattung der wirtschaftlichen Sozial­hilfe zur Anwendung. So wollte es Art. 9 Abs. 4 der Asylverordnung 2 vom 11. August 1999 über Finanzierungsfragen [AsylV 2, SR 142.312] in ihrer ur­sprünglichen, bis 31. Dezember 2007 geltenden Fassung (AS 1999 2318). Die Asylverordnung 2 in der erwähnten Fassung führte zusätzlich eine Zwischenabrechnung ein, die erfolgte, wenn eine sicherheitsleistungs­pflichtige Person des Asylrechts die vorläufige Auf­nahme erhielt. Im Rahmen dieser Zwischenabrechnung wurden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war nicht zeit­lich, sondern betragsmässig limitiert. Auf Gesuch hin konnten Perso­nen von der Pflicht zur Sicherheitsleistung befreit werden, wenn das Gutha­ben auf dem Sicherheitskonto die voraussichtliche Höhe der rücker­stattungspflichtigen Kosten überstieg und einen Mindeststand auf­wies (Art. 15 AsylV 2 in der Fassung vom 11. August 1999). Die Rückerstat­tungs- und Sicherheitsleistungspflicht vorläufig aufgenomme­ner Personen war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Ja­nuar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die im Wesentlichen unter denselben Voraussetzungen erhoben werden kann,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 Art. 8 Abs. 3 AsylV stellt da­bei durch Verweis auf Abs. 1 klar, dass dann, wenn der Höchstbetrag der Sonderabgabe von 15'000 Franken weder durch Lohnabzüge noch durch Vermögenswertabnahmen erreicht wird, die Differenz nach den allgemei­nen Regeln des kantonalen Rechts über die Rückerstattung bezogener So­zialhilfe geschuldet ist (vgl. dazu auch den erläuternden Bericht des BFM zu den Ausführungsbestimmungen der Teilrevision des Asylgesetzes vom 16. Dezember 2005 S. 22, online abrufbar unter: www.bfm.admin.ch Dokumentation Rechtliche Grundlagen Abgeschlossene Gesetzge­bungsprojekte Teilrevision Asylgesetz, besucht am 19. Mai 2011).</w:t>
      </w:r>
    </w:p>
    <w:p>
      <w:r>
        <w:rPr>
          <w:b/>
        </w:rPr>
        <w:t>E. 3.5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3.6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4.1</w:t>
      </w:r>
    </w:p>
    <w:p>
      <w:r>
        <w:t>Die vorliegende Streitsache beschlägt die Überführung des alten Si­Rück-Systems mit der ihm eigenen individuellen Abrechnung in das neue System der Sonderabgabe. Unter der Geltung des alten Rechts äufnete der Beschwerdeführer mit Lohnabzügen sein Sicherheitskonto, bis er mit Verfügung des BFF vom 3. November 1998 gestützt auf Art. 36 Abs. 3 alt AsylV 2 auf Widerruf hin von der Pflicht, Sicherheiten zu leisten, befreit wurde. Nach dem Statuswechsel zur vorläufigen Aufnahme erfolgte eine Zwischenabrechnung über sein Sicherheitskonto. Aus dem Guthaben wur­den Fr. 4'020.00 zwecks Deckung der Kosten des Asylverfahrens in glei­cher Höhe zu Gunsten des Bundes überwiesen. Der Restbetrag blieb auf dem Konto stehen. Da sich vor dem Inkrafttreten des neuen Rechts am 1. Januar 2008 kein altrechtlicher Schlussabrechnungsgrund verwirk­licht hatte, sah die Vorinstanz den Beschwerdeführer gemäss Abs. 1 der Übergangsbestimmungen zur Änderung des AsylG dem neuen Recht unter­stellt und löste sein Sicherheitskonto in Anwendung von Art. 10 AsylV 2 in Verbindung mit Abs. 6 bis 8 ihrer Übergangsbestimmungen auf, indem sie Fr. 10'223.00 zu Gunsten des Bundes einzog und mit Be­zug auf das Restguthaben (Fr. 7'690.10) die Auszahlung an den Beschwer­deführer anordnete. Der vereinnahmte Betrag von Fr. 10'223.00 versteht sich dabei als Differenz zwischen dem Maximalbetrag der Sonderabgabe von Fr. 15'000.- einerseits und dem im Rahmen der Zwi­schenabrechnung zwecks Kostendeckung bereits eingezogenen Betrag von Fr. 4'020.00 zuzüglich einer anderweitigen Rückerstattung von Fr. 757.00 andererseits.</w:t>
      </w:r>
    </w:p>
    <w:p>
      <w:r>
        <w:rPr>
          <w:b/>
        </w:rPr>
        <w:t>E. 4.2</w:t>
      </w:r>
    </w:p>
    <w:p>
      <w:r>
        <w:t>Der Beschwerdeführer stellt zu Recht nicht in Abrede, dass die Art und Weise, wie sein Sicherheitskonto aufgelöst wurde, im Einklang mit den einschlägigen Bestimmungen der AsylV 2 steht. Er macht stattdes­sen geltend, dass er mit Verfügung des BFF vom 3. September 1998 ge­stützt auf Art. 36 Abs. 3 alt AsylV 2 rechtskräftig von der Sicherheitsleis­tungspflicht befreit worden sei, weil die geleisteten Sicherheiten sowohl den geforderten Mindestbetrag als auch die voraussichtliche Höhe der rück­erstattungspflichtigen Kosten überstiegen hätten. Damit sei das Abrech­nungsverhältnis zwischen ihm und der Vorinstanz verbindlich gere­gelt worden. Es gehe nicht an, dass die Befreiung durch eine Gesetzes­änderung zehn Jahre später aus den Angeln gehoben werde. Das verbiete das Legalitäts- und Rechtssicherheitsprinzip. Abs. 1 der Übergangsbestimmungen zur Änderung des Asylgesetzes, der alle hängi­gen Verfahren dem neuen Recht unterstelle, verstosse im vorliegenden kon­kreten Fall gegen fundamentale verfassungsmässige Prinzipien. Er sei deshalb in dem Sinne verfassungskonform auszulegen, dass Abs. 1 nur auf jene Fälle anwendbar sei, bei denen eine Befreiung von der Sicher­heitsleistungspflicht noch nicht stattgefunden habe.</w:t>
      </w:r>
    </w:p>
    <w:p>
      <w:r>
        <w:rPr>
          <w:b/>
        </w:rPr>
        <w:t>E. 4.3</w:t>
      </w:r>
    </w:p>
    <w:p>
      <w:r>
        <w:t>Die verfassungskonforme Auslegung eines Gesetzes ist nur soweit zu­lässig, als Auslegungsspielräume bestehen (BGE 131 II 697 E. 4.1 S. 703 mit Hinweisen). Die vom Beschwerdeführer für geboten gehaltene Les­art des Übergangsrechts entspricht jedoch keiner methodisch vertretba­ren Auslegung des Gesetzes. Nach seinem Wortlaut, seiner Syste­matik und seiner Teleologie unterstellt es alle zum Zeitpunkt seines In­krafttretens nicht schlussabrechnungsfähigen SiRück-Verhältnisse dem neuen Recht und ermächtigt den Bundesrat, den Umfang und die Dauer der Sonderabgabepflicht in Abhängigkeit von Umfang und Dauer des vorbe­stehenden SiRück-Verhältnisses zu ordnen. Von der Ermächtigung hat der Bundesrat mit den Übergangsbestimmungen zur AsylV 2 delegati­onskonform Gebrauch gemacht. Diese gesetzliche Ordnung ist nach Art. 190 der Bundesverfassung der Schweizerischen Eidgenossenschaft vom 18. April 1999 (BV, SR 101) ungeachtet ihrer Verfassungskonformität anzuwenden (vgl. Urteil des Bundesverwaltungsgerichts C-7179/2008 vom 21. Dezember 2010 E. 3 und 6). Eine Verfassungswidrig­keit ist jedoch nicht zu erkennen, namentlich nicht in Ges­talt einer Verletzung des Rückwirkungsverbots. Dem Verbot der (ech­ten) Rückwirkung trägt das neue Recht dadurch Rechnung, dass altrecht­lich abgeschlossene SiRück-Verhältnisse, d.h. solche, in denen ein Schlussabrechnungs­grund vor Eintritt des neuen Rechts eingetreten ist, von der Sonderabgabepflicht nicht erfasst werden. Die Vorbringen des Be­schwerdeführers vermögen an dieser Beurteilung nichts zu ändern. Das ihnen zu Grunde gelegte Vertrauensprinzip stünde einer Rechtsände­rung nur entgegen, wenn die Sonderabgabepflicht gegen das Rückwirkungsverbot verstiesse oder in wohlerworbene Rechte eingriffe (vgl. BGE 130 I 26 E. 8.1 S. 60 mit Hinweisen). Mit der Verfügung des BFF vom 9. September 1998, auf die er sich beruft, wurde der Beschwerde­führer jedoch weder aus der SiRück-Beziehung entlassen - das hätte nur der Eintritt eines Schlussab­rechnungsfalles bewirken kön­nen - noch wurden ihm irgendwelche quali­fi­zierten Zusicherungen über die Rechtsbeständigkeit der durch sie bewirk­ten Rechtslage gegeben. Die Befreiung erfolgte ganz im Gegenteil unter Hinweis auf die Deckungs­verhältnisse zum damaligen Zeitpunkt "bis auf Widerruf" im Rahmen ei­nes nach wie vor aktiven SiRück-Verhältnisses. Einer Neuregelung die­ses SiRück-Verhältnisses stand daher nichts entgegen.</w:t>
      </w:r>
    </w:p>
    <w:p>
      <w:r>
        <w:rPr>
          <w:b/>
        </w:rPr>
        <w:t>E. 5</w:t>
      </w:r>
    </w:p>
    <w:p>
      <w:r>
        <w:t>Abschliessend ist festzuhalten, dass die angefochtene Verfügung im Lichte von Art. 49 VwVG nicht zu beanstanden ist. Die Beschwerde ist da­her abzuweisen.</w:t>
      </w:r>
    </w:p>
    <w:p>
      <w:r>
        <w:rPr>
          <w:b/>
        </w:rPr>
        <w:t>E. 6</w:t>
      </w:r>
    </w:p>
    <w:p>
      <w:r>
        <w:t>Dem Ausgang des Verfahrens entsprechend wird der Beschwer­de­führer kostenpflichtig (Art. 63 Abs. 1 VwVG). Die Ver­fahrenskosten sind auf Fr. 800.-- festzusetzen (Art. 1, Art. 2 und Art. 4 des Reg­lements vom 21. Feb­ruar 2008 über die Kosten und Ent­schädigungen vor dem Bundesverwal­tungsgericht [SR 173.320.2]).</w:t>
      </w:r>
    </w:p>
    <w:p>
      <w:r>
        <w:rPr>
          <w:b/>
        </w:rPr>
        <w:t>E. 7</w:t>
      </w:r>
    </w:p>
    <w:p>
      <w:r>
        <w:t>Das vorliegende Urteil ist endgültig (Art. 83 Bst. c Ziff. 3 und Bst. d Ziff. 1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