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C-517/2010 vom 14. Dezember 2010</w:t>
      </w:r>
    </w:p>
    <w:p>
      <w:r>
        <w:t>Bundesverwaltungsgericht, 2010-12-14, FR</w:t>
      </w:r>
    </w:p>
    <w:p>
      <w:r>
        <w:rPr>
          <w:b/>
        </w:rPr>
        <w:t xml:space="preserve">Quelle: </w:t>
      </w:r>
      <w:r>
        <w:t>https://mcp.opencaselaw.ch/entscheid/bvger_C-517_2010</w:t>
      </w:r>
    </w:p>
    <w:p>
      <w:r>
        <w:t>FR: TAF C-517/2010 du 14 décembre 2010</w:t>
      </w:r>
    </w:p>
    <w:p>
      <w:r>
        <w:t>IT: TAF C-517/2010 del 14 dicembre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précité, ibid.).</w:t>
      </w:r>
    </w:p>
    <w:p>
      <w:r>
        <w:rPr>
          <w:b/>
        </w:rPr>
        <w:t>E. 3.3</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ibidem; voir également l'arrêt du Tribunal fédéral 1C_290/2010 du 10 septembre 2010 consid. 3.1 et la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1C_290/2010 précité, ibid.).</w:t>
      </w:r>
    </w:p>
    <w:p>
      <w:r>
        <w:rPr>
          <w:b/>
        </w:rPr>
        <w:t>E. 4.3</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1C_290/2010 précité consid. 3.2).</w:t>
      </w:r>
    </w:p>
    <w:p>
      <w:r>
        <w:rPr>
          <w:b/>
        </w:rPr>
        <w:t>E. 4.3.1</w:t>
      </w:r>
    </w:p>
    <w:p>
      <w:r>
        <w:t>La procédure administrative fédérale est régie par le principe de la libre appréciation des preuves (art. 40 PCF,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dans son propre intérêt, de renverser cette présomption (cf. ATF 135 II 161 consid. 3 p. 165s. et références citées; arrêt du Tribunal fédéral 1C_290/2010 précité ibid.).</w:t>
      </w:r>
    </w:p>
    <w:p>
      <w:r>
        <w:rPr>
          <w:b/>
        </w:rPr>
        <w:t>E. 4.3.2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1C_290/2010 précité ibid.).</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8 décembre 2006 à X._______ a été annulée par l'autorité inférieure en date du 11 décembre 2009, soit avant l'échéance du délai péremptoire de cinq ans prévu par la disposition précitée, avec l'assentiment de l'autorité du canton d'origine (Saint-Gall).</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l'intéressée a fait connaissance d'Y._______ par le biais d'internet aux mois d'août-septembre 1999, avant que l'intéressé ne passe un mois en janvier 2000 à Madagascar pour la rencontrer. Au début du mois d'avril 2000, la recourante est entrée en Suisse et a contracté mariage le 27 avril 2000 avec Y._______. Après avoir obtenu une autorisation de séjour dans le canton de Bâle, puis de Soleure, liée à son statut d'épouse de ressortissant suisse, X._______ a été mise au bénéfice d'une autorisation d'établissement le 21 mars 2005 et a déposé, le 4 mai 2005, une demande de naturalisation facilitée. Le 27 novembre 2006, la prénommée et son époux ont signé la déclaration relative à la stabilité de leur mariage. Le 8 décembre 2006, la naturalisation facilitée a été octroyée à la recourante. Or, le 1er janvier 2007, soit à peine un mois plus tard, X._______ avait déjà quitté le domicile conjugal pour aller vivre chez un ami. Le 20 décembre 2007, l'intéressée a requis des mesures protectrices de l'union conjugale auprès du Tribunal d'arrondissement de la Broye, lequel, par prononcé du 28 mars 2008, a autorisé les époux à vivre séparés pour une durée indéterminée. Selon le mémoire de recours du 27 janvier 2010, le divorce a été prononcé en 2009.</w:t>
      </w:r>
    </w:p>
    <w:p>
      <w:r>
        <w:rPr>
          <w:b/>
        </w:rPr>
        <w:t>E. 6.3</w:t>
      </w:r>
    </w:p>
    <w:p>
      <w:r>
        <w:t>Le Tribunal estime dès lors que l'enchaînement chronologique particulièrement rapide des faits, tel qu'il a été relaté ci-dessus, couplé au très court laps de temps qui s'est écoulé entre la déclaration commune (27 novembre 2006), l'octroi de la naturalisation facilitée (8 décembre 2006), la séparation de fait des époux Perrin (à partir du 1er janvier 2007) et le dépôt des mesures protectrices de l'union conjugale (20 décembre 2007) est de nature à fonder la présomption que cette naturalisation a été obtenue de manière frauduleuse et que le couple n'envisageait déjà plus une vie future partagée lors de la signature de la déclaration de vie commune.</w:t>
      </w:r>
    </w:p>
    <w:p>
      <w:r>
        <w:rPr>
          <w:b/>
        </w:rPr>
        <w:t>E. 6.4</w:t>
      </w:r>
    </w:p>
    <w:p>
      <w:r>
        <w:t>Cette conviction est renforcée par plusieurs autres éléments.</w:t>
      </w:r>
    </w:p>
    <w:p>
      <w:r>
        <w:rPr>
          <w:b/>
        </w:rPr>
        <w:t>E. 6.4.1</w:t>
      </w:r>
    </w:p>
    <w:p>
      <w:r>
        <w:t>Le Tribunal constate ainsi que la recourante a épousé le 27 avril 2000 un homme de près de quinze ans son aîné huit mois après avoir fait sa connaissance par le biais d'internet et quatre mois seulement après l'avoir rencontré pour la première fois. Si, à première vue, il paraît peu significatif qu'une femme épouse un homme plus âgé qu'elle, il est à noter que la rapidité avec laquelle s'est conclu le mariage après un mois seulement de fréquentation à Madagascar laisse toutefois penser que cette union était pour le moins précipitée, les intéressés n'ayant guère eu le temps d'approfondir leur relation par des contacts autres que virtuels. Il ressort aussi du dossier (cf. p.-v. d'audition de l'ex-époux du 30 juin 2009, ad question 6) que la première année de cohabitation a été émaillée de nombreux problèmes dus à l'inactivité professionnelle de la recourante, qui avait abandonné un bon emploi à Madagascar et décidé alors de poursuivre ses études en Suisse durant les années 2001 à 2004, et qu'après deux ou trois années, quelques crises, accompagnées de haut et de bas, ont nécessité des changements dans le couple, sans qu'un divorce ne soit envisagé pour autant (du moins de la part de l'époux), ce dernier n'étant pas au courant à l'époque de la relation extra-conjugale entretenue par son épouse lors de ses études.</w:t>
      </w:r>
    </w:p>
    <w:p>
      <w:r>
        <w:rPr>
          <w:b/>
        </w:rPr>
        <w:t>E. 6.4.2</w:t>
      </w:r>
    </w:p>
    <w:p>
      <w:r>
        <w:t>S'agissant de la situation du couple avant leur séparation au mois de janvier 2007, le Tribunal relève que Y._______ a indiqué, outre les quelques problèmes de couple mentionnés ci-avant, qu'il avait le sentiment, au moment de signer la déclaration commune du 27 novembre 2006, que son union était stable et orientée vers l'avenir. Ce n'est que lorsque son épouse a quitté de son propre chef le domicile conjugal (au mois de décembre 2006 selon ses propos, le 1er janvier 2007 selon le jugement du 28 mars 2008 en matière de mesures protectrices de l'union conjugale) pour aller vivre chez un ami qu'elle avait connu durant ses études, qu'il avait ainsi soupçonné que cette dernière avait eu avec ce dernier une liaison extra-conjugale remontant aux années 2002-2003. Il est à noter que la recourante, invitée à se prononcer sur le contenu de l'audition de son époux, lequel faisait notamment part des soupçons précités, n'a fait aucune remarque particulière à ce propos, ni n'a nié l'énoncé de telles allégations, se contentant uniquement de souligner sa bonne intégration et l'existence d'une véritable union conjugale au moment de la procédure de naturalisation (cf. observations du 25 novembre 2009). De même, dans son mémoire de recours, l'intéressée n'a pas remis en cause l'existence d'une telle relation extra-conjugale et a principalement relevé qu'au moment de signer le 27 novembre 2006 la déclaration conjointe, son couple était heureux en mariage, sa décision de quitter définitivement son époux n'ayant été prise qu'en mai 2007. Cependant, les affirmations de la recourante concernant l'existence d'une véritable union conjugale n'expliquent en rien les motifs pour lesquels elle aurait opéré un tel brusque changement d'attitude l'ayant conduite, en l'espace de moins d'un mois, à prendre la décision de quitter le domicile conjugal pour ne plus y revenir, alors que son mari déclarait, dans son audition du 30 juin 2009, qu'il était prêt à reprendre la vie commune et qu'il l'aimait comme auparavant. Dès lors, vu ce qui précède, il apparaît peu vraisemblable que l'intéressée ait pu avoir la conviction que sa communauté matrimoniale était stable, effective et tournée vers l'avenir au moment de la déclaration précitée.</w:t>
      </w:r>
    </w:p>
    <w:p>
      <w:r>
        <w:rPr>
          <w:b/>
        </w:rPr>
        <w:t>E. 7</w:t>
      </w:r>
    </w:p>
    <w:p>
      <w:r>
        <w:t>Cela étant, la recourante n'a pas rendu vraisemblable la survenance d'un événement extraordinaire susceptible d'expliquer une détérioration rapide du lien conjugal, au sens indiqué plus haut (cf. consid. 4.3.2). Bien au contraire, l'intéressée a clairement indiqué qu'elle formait une véritable communauté conjugale avec son époux au moment où elle a signé la déclaration conjointe le 27 novembre 2006 sans toutefois pouvoir donner la moindre explication crédible sur la détérioration si rapide du lien matrimonial et l'abandon du domicile conjugal un mois à peine après avoir attesté par sa signature que son union était effective et stable et avant même que la décision d'octroi de naturalisation facilitée ne soit entrée en force. L'intéressée invoque seulement dans le mémoire de recours qu'elle-même et son ex-époux avaient rencontré « certains problèmes qui ont conduit à leur séparation puis à leur divorce » sans fournir de plus amples détails. Dans ces circonstances, l'affirmation de la recourante, selon laquelle elle n'a pas menti sur sa situation matrimoniale au moment de l'obtention de la naturalisation facilitée, ne saurait être considérée comme un renversement de présomption au sens de la jurisprudence précitée : en effet, la recourante n'indique point l'élément de fait qui permettrait de comprendre pourquoi la communauté conjugale formée avec son époux, bien que prétendument encore intacte au mois de novembre 2006, ne l'était déjà plus à peine un mois plus tard. De plus, l'intéressée n'a jamais remis en cause les allégations de son mari concernant la relation extra-conjugale qu'elle aurait eu avec un tiers durant ses études. Dès lors, il n'est pas vraisemblable que la recourante ait pu ignorer le délabrement de son couple au moment où elle a signé la déclaration du 27 novembre 2006 au terme de laquelle elle affirmait vivre avec son époux sous la forme d'une communauté conjugale effective et stable tournée vers l'avenir. Enfin, le Tribunal se doit de constater que l'ex-époux de la recourante a déclaré, lors de l'audition rogatoire du 30 juin 2009, qu'il n'y avait pas d'événement particulier ayant mis en cause la communauté conjugale après l'octroi de la naturalisation le 8 décembre 2006 (cf. p.- v. d'audition précité, ad question 22) et que cette affirmation n'a pas davantage été remise en cause par l'intéressée.</w:t>
      </w:r>
    </w:p>
    <w:p>
      <w:r>
        <w:rPr>
          <w:b/>
        </w:rPr>
        <w:t>E. 8.1</w:t>
      </w:r>
    </w:p>
    <w:p>
      <w:r>
        <w:t>En conclusion, force est d'admettre que la recourante n'a pu rendre vraisemblable ni la survenance d'un événement extraordinaire permettant d'expliquer une dégradation rapide du lien conjugal avec son ex-époux après l'obtention de la naturalisation facilitée, ni le fait qu'elle n'avait pas conscience de la gravité des problèmes rencontrés par son couple au moment où elle a signé la déclaration du 27 novembre 2006. Partant, à défaut de contre-preuves convaincantes susceptibles d'expliquer la dégradation rapide du lien conjugal, il y a lieu de s'en tenir à la présomption de fait que la naturalisation facilitée a été obtenue de façon frauduleuse (cf. ATF 130 II 482). En effet, la circonstance que le lien conjugal a été rompu de facto un mois à peine après l'obtention de la naturalisation facilitée et avant le dépôt des mesures protectrices de l'union conjugale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w:t>
      </w:r>
    </w:p>
    <w:p>
      <w:r>
        <w:rPr>
          <w:b/>
        </w:rPr>
        <w:t>E. 8.2</w:t>
      </w:r>
    </w:p>
    <w:p>
      <w:r>
        <w:t>Au vu du déroulement chronologique des faits et des autres éléments exposés ci-dessus, le Tribunal est amené, à défaut de contre-preuves pertinentes apportées par la recourante, à conclure que la communauté conjugale que cette dernière formait avec son époux n'était plus étroite et effective déjà au moment de la signature de la déclaration commune le 27 novembre 2006 et, à plus forte raison, au moment de l'octroi de la naturalisation, le 8 décembre 2006. Partant, l'Office fédéral était parfaitement fondé à prononcer, avec l'assentiment du canton d'origine, l'annulation de cette naturalisation.</w:t>
      </w:r>
    </w:p>
    <w:p>
      <w:r>
        <w:rPr>
          <w:b/>
        </w:rPr>
        <w:t>E. 9</w:t>
      </w:r>
    </w:p>
    <w:p>
      <w:r>
        <w:t>Il importe par surcroît de souligner que le fait que la recourante se sente très bien intégrée en Suisse, pays où elle réside depuis de nombreuses années, et qu'elle y exerce une activité lucrative est sans pertinence pour déterminer s'il y a eu obtention frauduleuse de la naturalisation au sens de l'art. 41 LN.</w:t>
      </w:r>
    </w:p>
    <w:p>
      <w:r>
        <w:rPr>
          <w:b/>
        </w:rPr>
        <w:t>E. 10</w:t>
      </w:r>
    </w:p>
    <w:p>
      <w:r>
        <w:t>S'agissant du chiffre 3 du dispositif de la décision querellée, force est de constater qu'il est sans effet, la recourante ayant contracté mariage le 12 décembre 2009 avec un ressortissant suisse et l'enfant né le 8 mai 2010 de leur union gardant la nationalité suisse de par sa filiation paternelle (cf. art. 1 al. 1 let. a LN).</w:t>
      </w:r>
    </w:p>
    <w:p>
      <w:r>
        <w:rPr>
          <w:b/>
        </w:rPr>
        <w:t>E. 11</w:t>
      </w:r>
    </w:p>
    <w:p>
      <w:r>
        <w:t>Il ressort de ce qui précède que, par sa décision du 11 décembre 2009,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