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C-516/2016 vom 5. November 2018</w:t>
      </w:r>
    </w:p>
    <w:p>
      <w:r>
        <w:t>Bundesverwaltungsgericht, 2018-11-05, DE</w:t>
      </w:r>
    </w:p>
    <w:p>
      <w:r>
        <w:rPr>
          <w:b/>
        </w:rPr>
        <w:t xml:space="preserve">Quelle: </w:t>
      </w:r>
      <w:r>
        <w:t>https://mcp.opencaselaw.ch/entscheid/bvger_C-516_2016</w:t>
      </w:r>
    </w:p>
    <w:p>
      <w:r>
        <w:t>FR: TAF C-516/2016 du 5 novembre 2018</w:t>
      </w:r>
    </w:p>
    <w:p>
      <w:r>
        <w:t>IT: TAF C-516/2016 del 5 novembre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w:t>
      </w:r>
    </w:p>
    <w:p>
      <w:r>
        <w:rPr>
          <w:b/>
        </w:rPr>
        <w:t>E. 1.2</w:t>
      </w:r>
    </w:p>
    <w:p>
      <w:r>
        <w:t>Anfechtungsobjekt ist vorliegend der Einspracheentscheid der Vorinstanz vom 22. Dezember 2015, in welchem sie ihre Verfügung vom 19. Oktober 2015 bezüglich Neueinreihung der Beschwerdeführerin in den Prämientarif bestätigt hat. Somit ist das Bundesverwaltungsgericht für die Beurteilung der Streitsache zuständig.</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Die Beschwerdeführerin hat am vorinstanzlichen Verfahren teilgenom-men, ist als Adressatin durch den angefochtenen Einspracheentscheid in besonderer Weise berührt und hat an deren Aufhebung oder Änderung ein schutzwürdiges Interesse (Art. 48 Abs. 1 VwVG; vgl. auch Art. 59 ATSG). Sie ist zur Beschwerde legitimiert.</w:t>
      </w:r>
    </w:p>
    <w:p>
      <w:r>
        <w:rPr>
          <w:b/>
        </w:rPr>
        <w:t>E. 1.5</w:t>
      </w:r>
    </w:p>
    <w:p>
      <w:r>
        <w:t>Die Beschwerde wurde frist- und formgerecht eingereicht. Da auch der Kostenvorschuss rechtzeitig bezahlt wurde, ist auf die Beschwerde einzutreten.</w:t>
      </w:r>
    </w:p>
    <w:p>
      <w:r>
        <w:rPr>
          <w:b/>
        </w:rPr>
        <w:t>E. 1.6</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w:t>
      </w:r>
    </w:p>
    <w:p>
      <w:r>
        <w:t>Die Beschwerdeführerin rügt in ihrer Beschwerde vom 26. Januar 2016, die Vorinstanz habe in Bezug auf die Einreihung in den Betriebsbereich Schreinerei das rechtliche Gehör verletzt. Der Bericht des Sachbearbeiters nach der Betriebsbesichtigung sei ihr nicht zur Stellungnahme vorgelegt worden und sie sei zur Unterzeichnung des vorgelegten Formulars geradezu genötigt worden. Zudem habe die Verfügung vom 19. Oktober 2015 keine diesbezüglichen konkreten Erklärungen enthalten. Ferner macht die Beschwerdeführerin mit Replik vom 4. April 2016 geltend, die Vorinstanz habe ihre 25 %-ige Prämienerhöhung nie substantiiert begründet.</w:t>
      </w:r>
    </w:p>
    <w:p>
      <w:r>
        <w:rPr>
          <w:b/>
        </w:rPr>
        <w:t>E. 2.1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w:t>
      </w:r>
    </w:p>
    <w:p>
      <w:r>
        <w:rPr>
          <w:b/>
        </w:rPr>
        <w:t>E. 2.2</w:t>
      </w:r>
    </w:p>
    <w:p>
      <w:r>
        <w:t>Die erste Rüge der Beschwerdeführerin bezieht sich auf die von der Vorinstanz festgelegten Betriebsverhältnisse ab 1. Januar 2016, wonach im Betrieb 21 % Schreinerarbeiten durchgeführt würden. Wie aus den Akten hervorgeht, hat die Beschwerdeführerin die Betriebsbeschreibung selbständig ausgefüllt und diese unterzeichnet (act. 125, 128). Hinweise darauf, dass sie dabei nicht aus freiem Willen gehandelt haben könnte, bestehen keine. Ferner wurden die Prozentzahlen in der Einreihungsverfügung vom 19. Oktober 2015 aus der Betriebsbeschreibung übernommen. Diesbezüglich ist die Verfügung nachvollziehbar. Da der Ursprung der angewendeten Prozentzahlen gestützt auf die Akten bzw. auf die von der Beschwerdeführerin ausgefüllte und unterzeichnete Betriebsbeschreibung nachvollziehbar ist, erweist sich die nachträgliche Beanstandung - der von der Beschwerdeführerin eigens angegebenen Prozentzahlen - als unbegründet.</w:t>
      </w:r>
    </w:p>
    <w:p>
      <w:r>
        <w:rPr>
          <w:b/>
        </w:rPr>
        <w:t>E. 2.3</w:t>
      </w:r>
    </w:p>
    <w:p>
      <w:r>
        <w:t>Die Beschwerdeführerin rügt weiter, die Vorinstanz habe die Prämienerhöhung von 25 % nie substantiiert begründet, weshalb auch dadurch das rechtliche Gehör verletzt worden sei.</w:t>
      </w:r>
    </w:p>
    <w:p>
      <w:r>
        <w:rPr>
          <w:b/>
        </w:rPr>
        <w:t>E. 2.3.1</w:t>
      </w:r>
    </w:p>
    <w:p>
      <w:r>
        <w:t>In der Verfügung vom 19. Oktober 2015 wird unter Hinweis auf Art. 18 Prämientarif ausgeführt, der Verwaltungsrat habe beschlossen, die Einreihungsregeln zur Zuteilung der Betriebe zu den Risikogemeinschaften und zu den besonderen Betriebsverhältnissen per 1. Januar 2016 zu ändern. Wenn sich durch die neuen Regeln eine neue Einreihung ergebe, könne dies zu Prämienänderungen führen. Auf Klassenebene seien die durch die Systemanpassungen verursachten Veränderungen prämienneutral. Ausschlaggebend für die Bertriebe und Betriebsteile seien die Betriebsmerkmale, wobei die Administration nicht berücksichtigt werde. Die Zuteilung erfolge in jene Risikogemeinschaft, auf welche gemessen an der Lohnsumme am meisten Betriebsmerkmale entfielen. Betriebsmerkmale, die nicht ausschlaggebend für die Zuteilung zur Risikogemeinschaft eines Betriebs seien, welche jedoch den in Anhang 5 des Prämientarifs angegebenen Anteil an der Gesamtlohnsumme überschreiten würden, würden gemäss Art. 24 Abs. 1bis 1ter Prämientarif bei der Kalkulation prämiensenkend bzw. prämienerhöhend berücksichtigt. Der Basissatz setze sich diesfalls aus dem prozentualen Anteil der Basisätze der Risikogemeinschaften der besonderen Betriebsmerkmale zusammen. Dieser Mischsatz werde auf den nächstliegenden Nettosatz im SUVA-Grundtarif gerundet (Art. 24 Abs. 2 Prämientarif). Würden die Ausgleichsreserven einer Klasse einen Überschuss aufweisen, könne gemäss Art. 16 Prämientarif ein Teil davon unter gewissen Voraussetzungen zurückerstattet werden. In der Klasse der Beschwerdeführerin liege die Ausgleichsreserve der Berufsunfallversicherung über der Zielhöhe, weshalb der Verwaltungsrat an seiner Sitzung am 12. Juni 2015 beschlossen habe, einen Teil des Überschusses mit der Prämie 2016 zurückzuerstatten.</w:t>
      </w:r>
    </w:p>
    <w:p>
      <w:r>
        <w:rPr>
          <w:b/>
        </w:rPr>
        <w:t>E. 2.3.2</w:t>
      </w:r>
    </w:p>
    <w:p>
      <w:r>
        <w:t>Im Einspracheentscheid vom 22. Dezember 2015 führte die Vorinstanz unter dem Titel "Besondere Betriebsverhältnisse" ergänzend aus, das Ausmass in welchem die besonderen Betriebsmerkmale einer Risikogemeinschaft nach Art. 24 Abs. 1 Prämientarif berücksichtigt würden, berechne sich aus dem den Schwellenwert überschreitenden Anteil multipliziert mit dem Faktor 100 dividiert durch 100 minus den Schwellenwert. Anteile von Betriebsmerkmalen, welche nicht zu einer Berücksichtigung nach Art. 24 Abs. 1 und 1bis führten, würden proportional auf die zugeteilte Risikogemeinschaft und die Anteile der Risikogemeinschaften der besonderen Betriebsmerkmale verteilt, welche für die Bestimmung des Basissatzes massgebend seien und gewerblichen Charakter hätten. In der Klasse 16B (Industriespenglerei) würden branchenfremde Tätigkeiten wie Schreinerarbeiten ab einer Höhe von 15 % als besondere Betriebsverhältnisse in die Berechnung des Basissatzes einbezogen. Da für Schreinerarbeiten ein höheres Risiko bestehe als für Industriespenglereien ausgewiesen sei, wirke sich dies auf den Prämiensatz aus.</w:t>
      </w:r>
    </w:p>
    <w:p>
      <w:r>
        <w:rPr>
          <w:b/>
        </w:rPr>
        <w:t>E. 2.3.3</w:t>
      </w:r>
    </w:p>
    <w:p>
      <w:r>
        <w:t>Sodann begründete die Vorinstanz in ihrer Vernehmlassung vom 29. Februar 2016 ergänzend bzw. wiederholt die Klassenzuteilung, die besonderen Betriebsverhältnisse, das anwendbare Prämienmodell und die Prämienbemessung nach BMS 03.</w:t>
      </w:r>
    </w:p>
    <w:p>
      <w:r>
        <w:rPr>
          <w:b/>
        </w:rPr>
        <w:t>E. 2.4</w:t>
      </w:r>
    </w:p>
    <w:p>
      <w:r>
        <w:t>Insgesamt sind die Stellungnahmen der Vorinstanz sehr ausführlich und im Wesentlichen nachvollziehbar. Der Beschwerdeführerin war es so auch möglich, den Einspracheentsscheid sachgerecht anzufechten, was sich in den ausführlichen Beschwerde und Replik zeigt. In diesen hat sie explizite Rügen erhoben und diese eingehend begründet. Vor diesem Hintergrund erscheint der Vorwurf der Beschwerdeführerin in Bezug auf die Verletzung des rechtlichen Gehörs als unbegründet.</w:t>
      </w:r>
    </w:p>
    <w:p>
      <w:r>
        <w:rPr>
          <w:b/>
        </w:rPr>
        <w:t>E. 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Soweit die Beschwerdeführerin rügt, der Tarif bzw. die Konzeption des Tarifs als Ganzes sei rechtswidrig, so ist darauf hinzuweisen, dass das Gericht keine generell-abstrakte Normenkontrolle vornimmt, sondern nur die Rechtmässigkeit des angefochtenen Einspracheentscheides im konkreten Fall prüft.</w:t>
      </w:r>
    </w:p>
    <w:p>
      <w:r>
        <w:rPr>
          <w:b/>
        </w:rPr>
        <w:t>E. 3.3</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3.4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Zunächst sind die zu beachtenden wichtigsten gesetzlichen Bestimmungen, massgebenden Grundsätze sowie die hier massgeblichen Bestimmungen des Suva-Tarifs (Ausgabe 2016)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4.7</w:t>
      </w:r>
    </w:p>
    <w:p>
      <w:r>
        <w:t>Als Risikoeinheit gelten laut dem ab dem 1. Januar 2016 gültigen Suva-Tarif 2016 (Reglement des Verwaltungsrats der Suva vom 14. November 2008 betreffend die Einreihungsregeln zur Prämienbemessung in der obligatorischen Unfallversicherung [B-act. 6 Beilage B]) Betriebe, Betriebsteile und Prämienkonzerne (Art. 7 Abs. 1). Die Prämienbemessung erfolgt für jede Risikoeinheit separat (Art. 7 Abs. 2). Die Risikogemeinschaften der BUV bestehen bei der Suva aus Klassen, Unterklassen und Unterklassenteilen (Art. 13 Abs. 1 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Tarif).</w:t>
      </w:r>
    </w:p>
    <w:p>
      <w:r>
        <w:rPr>
          <w:b/>
        </w:rPr>
        <w:t>E. 4.8</w:t>
      </w:r>
    </w:p>
    <w:p>
      <w:r>
        <w:t>Laut Art. 18 Abs. 1 des Tarifs wird jeder bei der Suva versicherte Betrieb oder Betriebsteil einer Risikogemeinschaft zugeteilt. Ausschlaggebend für die Zuteilung zu den Risikogemeinschaften sind die Betriebsmerkmale, wobei die administrativen Tätigkeiten nicht berücksichtigt werden. Laut Art. 18 Abs. 2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Laut Art. 18 Abs. 3 wird zur Erhebung der Betriebsmerkmale eine Betriebsbeschreibung aufgenommen.</w:t>
      </w:r>
    </w:p>
    <w:p>
      <w:r>
        <w:rPr>
          <w:b/>
        </w:rPr>
        <w:t>E. 5.1</w:t>
      </w:r>
    </w:p>
    <w:p>
      <w:r>
        <w:t>Es ist nachfolgend zu prüfen, ob im vorliegenden Fall ein besonderes Betriebsmerkmal Schreinerei vorliegt. Die Beschwerdeführerin macht im Wesentlichen geltend, die Feststellung der Vorinstanz, wonach sie seit Jahren zu 20 % Schreinerarbeiten durchführe, treffe nicht zu. Sie habe im Betriebsbeschreibungsblatt unter der Rubrik "Arbeiten Werkstatt" diejenigen Arbeiter geführt, die in diversen Abteilungen oder extern arbeiteten oder nicht klar zuzuordnen seien. In der SUVA-Abrechnung 2015 entspreche dies 21 % der Gesamtlohnsumme. Darin seien auch die Löhne derjenigen Arbeiter geführt, die Wandtafeln, vorgefertigt und bestehend ausschliesslich aus Metall, vormontiert und anschliessend auf externer Montage in den Schulhäusern eingebaut hätten. Ebenfalls auf dieser Lohnliste seien die Angestellten der Malerei geführt, die das Holz nicht verarbeiteten, sondern, grösstenteils vollautomatisiert, beschichteten. Die Maler würden zudem in der Oberfläche der Metallbearbeitung, also in der Pulverbeschichtung eingesetzt. Abgesehen von acht Angestellten in der Schreinerabteilung habe keiner der 19 für die Festlegung der gemeldeten 21 % Lohnanteile in der Werkstatt mit der Verarbeitung von Holz und dem damit einhergehenden erhöhten Risiko etwas zu tun. Die Lohnsumme der mit Schreinerarbeiten beschäftigten Angestellten betrage 8.37 % und sei damit weit entfernt von den 15 %, die als separate Betriebsmerkmale für die Bestimmung einer eigenen Risikoklasse herangezogen werden dürften. Die Vorinstanz führte in ihrer Vernehmlassung vom 29. Februar 2016 aus, die Tätigkeiten ,Oberflächenbehandlung' und ,Stuhlmontage' könnten auch unter den Betriebsmerkmalen ,Industriespenglerei' bzw. ,Herstellung von leichten Metallrohr-Produkten', doch sei es nicht falsch, sie unter dem Betriebsmerkmal ,Schreinerei - Arbeiten in der Werkstatt' aufzuführen.</w:t>
      </w:r>
    </w:p>
    <w:p>
      <w:r>
        <w:rPr>
          <w:b/>
        </w:rPr>
        <w:t>E. 5.2</w:t>
      </w:r>
    </w:p>
    <w:p>
      <w:r>
        <w:t>Die Beschwerdeführerin hat ausführlich und nachvollziehbar dargelegt, weshalb ihrer Ansicht nach ein bedeutender Teil der von der Vorinstanz zum Betriebsmerkmal Schreinerei gezählten Tätigkeiten nicht unter dieses Betriebsmerkmal fallen. Sie hat dabei insbesondere deutlich gemacht, dass die fraglichen Tätigkeiten kein Verarbeiten von Holz darstellen und dass die mit dieser Tätigkeit verbundenen Gefahren deutlich geringer sind als bei der Verarbeitung von Holz. Ihre Argumentation ist daher einleuchtend. Demgegenüber hat die Vorinstanz ihre Zuordnung der Tätigkeiten zum Betriebsmerkmal Schreinerei in keiner Weise begründet. Vielmehr hat sie eine pauschale Feststellung gemacht, ohne darzulegen, auf welche konkreten Kriterien sie ihre Zuordnung stützte. Sachliche Gründe für die von der Vorinstanz vertretene Ansicht sind ebenfalls keine ersichtlich. Damit sind ihre Schlussfolgerungen nicht nachvollziehbar und auf ihre Einschätzung ist nicht abzustellen. Indem die Vorinstanz die Tätigkeiten ,Oberflächenbehandlung' und ,Stuhlmontage' bzw. ,Herstellung von leichten Metallrohr-Produkten' ohne erkennbaren sachlichen Grund dem Betriebsmerkmal ,Schreinerei - Arbeiten in der Werkstatt' zugeordnet hat, hat sie Bundesrecht verletzt. Der Einspracheentscheid ist bereits aus diesem Grund aufzuheben. Nachdem die Festlegung der Betriebsmerkmale Auswirkungen auf die Zuteilung der Risikogemeinschaft BUV sowie NBUV hat, braucht diese vorliegend nicht näher geprüft zu werden.</w:t>
      </w:r>
    </w:p>
    <w:p>
      <w:r>
        <w:rPr>
          <w:b/>
        </w:rPr>
        <w:t>E. 6</w:t>
      </w:r>
    </w:p>
    <w:p>
      <w:r>
        <w:t>Der Vollständigkeit halber sei diesbezüglich erwähnt, dass die Vorinstanz den errechneten Anteil des besonderen Betriebsmerkmals, wie nachfolgend zu zeigen sein wird, zudem falsch berechnet hat.</w:t>
      </w:r>
    </w:p>
    <w:p>
      <w:r>
        <w:rPr>
          <w:b/>
        </w:rPr>
        <w:t>E. 6.1</w:t>
      </w:r>
    </w:p>
    <w:p>
      <w:r>
        <w:t>Bei den Schreinereien beträgt der über dem Schwellenwert von 15 % liegende Anteil 6 % (21 % - 15 %). Damit beträgt das Ausmass, in welchem dieses besondere Betriebsmerkmal zu berücksichtigen ist, 7 % (6 % x 100 : [100 - 15 %]). Beim Büro beträgt der über dem Schwellenwert liegende Anteil 8 % (43 % - 35 %). Das Ausmass, in welchem das besondere Betriebsmerkmal Büro zu berücksichtigen ist, beträgt demzufolge 12 % (8 % x 100 : [100 - 35 %]). Die Vorinstanz hat bei ihrer Berechnung in Bezug auf den Anteil Büro 12 % berücksichtigt. Dies ist nicht zu beanstanden. Demgegenüber wurde bei den Schreinereien ein Anteil von 18 % berücksichtigt. Wie sie auf diesen Wert gekommen ist, lässt sich auch nach Durchführung der entsprechenden Berechnung nicht nachvollziehen, da diese lediglich einen Anteil von 7 % ergibt.</w:t>
      </w:r>
    </w:p>
    <w:p>
      <w:r>
        <w:rPr>
          <w:b/>
        </w:rPr>
        <w:t>E. 6.2</w:t>
      </w:r>
    </w:p>
    <w:p>
      <w:r>
        <w:t>Für das Gericht ist gestützt auf die Ausführungen der Vorinstanz die konkrete Berechnung - in Anwendung von Art. 24 und Anhang 5 Prämientarif - nicht nachvollziehbar. Die Vorinstanz unterlässt eine konkrete Nennung und Berechnung bzw. Umrechnung. Eine Berechnung durch das Bundesverwaltungsgericht nach den Vorgaben der Vorinstanz liefert nicht das von ihr postulierte Ergebnis von 18 %, sondern einen Wert von 7 %. Die ermittelte prozentuale Einreihung ist daher nicht nachvollziehbar.</w:t>
      </w:r>
    </w:p>
    <w:p>
      <w:r>
        <w:rPr>
          <w:b/>
        </w:rPr>
        <w:t>E. 7</w:t>
      </w:r>
    </w:p>
    <w:p>
      <w:r>
        <w:t>Die Beschwerde ist gutzuheissen und der angefochtene Einspracheentscheid vom 22. Dezember 2015 ist aufzuheben. Die Akten sind an die Vorinstanz zurückzuweisen, damit diese, ausgehend von einer korrekten Ermittlung der Betriebsmerkmale im Sinne der Erwägungen, die Prämientarife für die BUV sowie NBUV bestimme und über die Einreihung der Beschwerdeführerin ab 1. Januar 2016 in der BUV sowie NBUV neu verfüge.</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in der Höhe von Fr. 800.- ist ihr nach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(inkl. Auslagen) auf insgesamt Fr. 3'500.- festzusetzen (Art. 9 Abs. 1 Buchst. a und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