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C-5167/2008 vom 9. November 2009</w:t>
      </w:r>
    </w:p>
    <w:p>
      <w:r>
        <w:t>Bundesverwaltungsgericht, 2009-11-09, FR</w:t>
      </w:r>
    </w:p>
    <w:p>
      <w:r>
        <w:rPr>
          <w:b/>
        </w:rPr>
        <w:t xml:space="preserve">Quelle: </w:t>
      </w:r>
      <w:r>
        <w:t>https://mcp.opencaselaw.ch/entscheid/bvger_C-5167_2008</w:t>
      </w:r>
    </w:p>
    <w:p>
      <w:r>
        <w:t>FR: TAF C-5167/2008 du 9 novembre 2009</w:t>
      </w:r>
    </w:p>
    <w:p>
      <w:r>
        <w:t>IT: TAF C-5167/2008 del 9 novembre 2009</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Selon l'art. 37 LTAF la procédure devant le Tribunal administratif fédéral est régie par la loi fédérale du 20 décembre 1968 sur la procédure administrative (PA, RS 172.021) pour antant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3.1</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3.2</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4.1</w:t>
      </w:r>
    </w:p>
    <w:p>
      <w:r>
        <w:t>L'examen du droit à des prestations selon la LAI et la LPGA est régi par leur teneur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et de la LPGA entrées en vigueur le 1er janvier 2008 sont donc applicables et les dispositions citées ci-après sont, sauf précision contraire, celles en vigueur à compter du 1er janvier 2008. Toutefois, le droit à la rente s'étendant jusqu'au 31 décembre 2007 s'examine à la lumière des anciennes normes.</w:t>
      </w:r>
    </w:p>
    <w:p>
      <w:r>
        <w:rPr>
          <w:b/>
        </w:rPr>
        <w:t>E. 4.2</w:t>
      </w:r>
    </w:p>
    <w:p>
      <w:r>
        <w:t>La recourante a présenté sa demande de rente le 9 juin 2004. En dérogation à l'art. 24 LPGA, l'art. 48 al. 2 LAI ( en vigueur jusqu'au 31 décembre 2007) prévoit que si l'assuré présente sa demande de rente plus de douze mois après la naissance du droit, les prestations ne sont allouées que pour les douze mois précédant le dépôt de la demande. En l'espèce, le Tribunal peut ainsi se limiter à examiner si la recourante avait droit à une rente le 9 juin 2003 ou si le droit à une rente était né entre cette date et le 11 juillet 2008, date de la décision attaquée marquant la limite dans le temps du pouvoir d'examen de l'autorité de recours (ATF 129 V 1 consid. 2.1 et ATF 121 V 362 consid. 1b).</w:t>
      </w:r>
    </w:p>
    <w:p>
      <w:r>
        <w:rPr>
          <w:b/>
        </w:rPr>
        <w:t>E. 5</w:t>
      </w:r>
    </w:p>
    <w:p>
      <w:r>
        <w:t>Selon les normes applicables, tout requérant, pour avoir droit à une rente de l'assurance-invalidité suisse, doit remplir cumulativement les conditions suivantes: être invalide au sens de la LPGA et de la LAI (art. 8 LPGA, 4, 28, 29 al. 1 LAI); compter une année entière au moins de cotisations à l'AVS/AI suisse (art. 36 al. 1 LAI en vigueur jusqu'au 31 décembre 2007) respectivement dès le 1er janvier 2008 trois années entières à l'AVS/AI suisse ou à une assurance sociale assimilée d'un Etat membre de l'UE (FF 2005 p. 4291; art. 45 du règlement 1408/71), dont l'une au moins en Suisse. La recourante a versé des cotisations à l'AVS/AI pendant plus de trois années au total et remplit donc la condition de la durée minimale de cotisations. Il reste à examiner si elle est invalide.</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L'assuré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dès le 1er janvier 2008). Suite à l'entrée en vigueur le 1er juin 2002 de l'accord bilatéral entre la Suisse et la Communauté européenne, la restriction prévue à l'art. 28 al. 1ter LAI (art. 29 al. 4 LAI dès le 1er janvier 2008)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6.3</w:t>
      </w:r>
    </w:p>
    <w:p>
      <w:r>
        <w:t>Conformément à l'art. 29 al. 1 LAI en vigueur jusqu'au 31 décembre 2007,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l'art. 29 al. 1 let. a LAI s'applique si l'état de santé de l'assuré est stabilisé et a acquis un caractère essentiellement irréversible affectant la capacité de gain dans une mesure suffisamment grave pour justifier l'octroi d'une rente (art. 29 RAI), l'art. 29 al. 1 let. b LAI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6.6</w:t>
      </w:r>
    </w:p>
    <w:p>
      <w:r>
        <w:t>Le taux d'invalidité d'une personne exerçant une activité lucrative est fixé d'après la comparaison des revenus prévue par l'art. 16 LPGA, c'est-à-dire essentiellement selon des considérations économiques (art. 28 al. 2 LAI jusqu' au 31 décembre 2007, art. 28a al. 1 LAI à partir du 1er janvier 2008).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(méthode générale). L'invalidité des assurés âgés de 20 ans ou plus qui n'exerçaient pas d'activité lucrative avant d'être atteint dans leur santé physique, mentale ou psychique et dont on ne saurait exiger qu'ils exercent une telle activité est déterminée selon l'art. 8 al. 3 LPGA qui dispose que ces personnes sont réputées invalides si l'atteinte les empêche d'accomplir leurs travaux habituels (art. 28 al. 2bis LAI jusqu'au 31 décembre 2007, 28a al. 2 LAI à partir du 1er janvier 2008 et 27 du règlement du 17 janvier 1961 sur l'assurance-invalidité [RAI, RS 831.201]) telles les tâches domestiques (méthode spécifique). Si l'assuré exercait une activité à temps partiel il convient de pondérer les deux méthodes (méthode mixte) en fonction du temps alors attribué à l'activité lucrative et aux activité domestiques (art. 28 al. 2ter LAI jusqu'au 31 décembre 2007, 28a al. 3 LAI à partir du 1er janvier 2008 et 27bis RAI). L'invalidité de l'assuré est évaluée selon l'une ou l'autre de ces trois méthodes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ménage, cela à la lumière de sa situation familiale, sociale, et professionnelle. Il est tenu compte, pour le cas où l'assuré serait demeuré valide, d'éléments tels que la situation financière du ménage, l'éducation des enfants, l'âge de l'assuré, ses qualifications professionnelles, sa formation ainsi que ses affinités et talents personnels (ATF 117 V 195 consid. 3b; arrêt du Tribunal fédéral I 276/05 du 24 avril 2006 consid. 2.3).</w:t>
      </w:r>
    </w:p>
    <w:p>
      <w:r>
        <w:rPr>
          <w:b/>
        </w:rPr>
        <w:t>E. 6.7</w:t>
      </w:r>
    </w:p>
    <w:p>
      <w:r>
        <w:t>S'agissant de l'évaluation des restrictions à l'accomplissement des travaux habituels dans les tâches ménagères, une enquête ménagère motivée et rédigée de façon suffisamment détaillée effectuée au domicile de l'assuré par une personne qualifiée selon les critères posés par l'Office fédéral des assurances sociales (OFAS; Circulaire concernant l'invalidité et l'impotence de l'assurance-invalidité, CIIAI ch. 3090) constitue en règle générale une base appropriée et suffisante pour évaluer les empêchements dans ce domaine (ATF 129 V 67; arrêt du Tribunal fédéral 9C_313/2007 du 8 janvier 2008). Une telle enquête n'est dans la règle pas réalisée s'agissant d'assurés résidant à l'étranger et l'appréciation se fonde sur les avis médicaux et le questionnaire pour les assurés travaillant dans le ménage. Ce questionnaire rempli par les assurés ne peut cependant être assimilé à un rapport d'enquête sur les activités ménagères effectué par un enquêteur habilité auquel la jurisprudence reconnaît, en principe, valeur probante. Ce document ne peut donc, à lui seul, justifier que l'on s'écarte des conclusions retenues par les médecins-conseils de l'office (arrêt du Tribunal fédéral I 407/03 du 15 septembre 2003 consid. 4.3).</w:t>
      </w:r>
    </w:p>
    <w:p>
      <w:r>
        <w:rPr>
          <w:b/>
        </w:rPr>
        <w:t>E. 6.8</w:t>
      </w:r>
    </w:p>
    <w:p>
      <w:r>
        <w:t>En l'espèce l'assurée, sans formation professionnelle, de retour en Espagne depuis 1991, n'a pas repris d'activité lucrative et n'a pas fait valoir avoir cherché à en exercer une. Son invalidité doit dès lors être évaluée dans le cadre de l'accomplissement des tâches domestiques, soit en application de la méthode spécifique.</w:t>
      </w:r>
    </w:p>
    <w:p>
      <w:r>
        <w:rPr>
          <w:b/>
        </w:rPr>
        <w:t>E. 7</w:t>
      </w:r>
    </w:p>
    <w:p>
      <w:r>
        <w:t>L'intéressée souffre depuis de nombreuses années de cardiopathie rhumatismale avec double lésion mitrale, d'épisodes de fibrillation auriculaire et insuffisance cardiaque, d'un diabète de type II, d'hypercholstérolémie et hypertriglycéridémie, d'un syndrome anxio-dépressif, d'une scoliose lombaire avec discopathie et évolution spondylarthrique et avec une rectification de la lordose lombaire causant une sciatique de plus en plus fréquente, d'une tendinopathie supraspinale droite avec infiltration, d'ostéoporose, de troubles somatoformes doulourex et de nodules thyroïdiens. A défaut d'un état de santé stabilisé seul peut entrer en considération l'art. 29 al. 1 let. b LAI , texte en vigueur jusqu'au 31 décembre 2007 prévoyant une période d'attente d'une année à partir du début de l'incapacité de travail relevante pour la détermination du début du droit à la rente.</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9C_859/2007 du Tribunal fédéral du 16 décembre 2008 consid. 5). Une telle manière de procéder ne viole pas le droit d'être entendu selon l'art. 29 al. 2 Cst. (Sozialversicherungsrecht Rechtsprechung [SVR] 2001 IV n° 10 p. 28).</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10.1</w:t>
      </w:r>
    </w:p>
    <w:p>
      <w:r>
        <w:t>Le Tribunal fédéral s'est exprimé sur les conditions auxquelles des troubles somatoformes douloureux persistants peuvent présenter un caractère invalidant (ATF 130 V 352; Arrêt du Tribunal fédéral I 870/02 du 21 avril 2004 consid. 3.3.1 et I 515/03 du 15 septembre 2004 consid. 3.3.1 et 3.3.2 et les références citées; voir ég. Jean Pirrotta, Les troubles somatoformes douloureux du point de vue de l'assurance-invalidité in: Revue suisse des assurances sociales et de la prévoyance professionnelle [RSAS] 2005 p. 517, 523 ss). Il s'agit d'une affection reconnue par l'Organisation mondiale de la santé sous le nom de « syndrome douloureux somatoforme persistant », caractérisée par « une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 (OMS, CIM-10: F45.4). Le trouble somatoforme douloureux se définit en termes de discrépance entre la subjectivité du patient qui éprouve une douleur préoccupante et l'objectivité médicale qui ne permet pas de détecter ce que l'on s'attend à trouver en pareil cas sur la base des savoirs acquis et des techniques à disposition permettant de mesurer et objectiver les symptômes (cf. Pirrotta, op. cit., p. 524).</w:t>
      </w:r>
    </w:p>
    <w:p>
      <w:r>
        <w:rPr>
          <w:b/>
        </w:rPr>
        <w:t>E. 10.2</w:t>
      </w:r>
    </w:p>
    <w:p>
      <w:r>
        <w:t>Selon la jurisprudence, des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Au demeurant, par exemple,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Les simples plaintes de l'assuré ne suffisent pas pour justifier une invalidité partielle voire entière, l'allégation des douleurs doit être confirmée par des observations médicales concluantes sans quoi il serait enfreint à l'égalité de traitement entre les assurés.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telle sévérité que d'un point de vue objectif la mise en valeur de la capacité de travail ne puisse pratiquement plus raisonnablement être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w:t>
      </w:r>
    </w:p>
    <w:p>
      <w:r>
        <w:rPr>
          <w:b/>
        </w:rPr>
        <w:t>E. 10.3</w:t>
      </w:r>
    </w:p>
    <w:p>
      <w:r>
        <w:t>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(cf. ATF 132 V 65 consid. 4.2.2, 131 V 50, 130 V 354; Pirrotta, op. cit., 525 s.). Tel est le cas 1) des affections corporelles chroniques ou d'un processus maladif s'étendant sur plusieurs années sans rémission durable, 2) d'une perte d'intégration sociale dans toutes les manifestations de la vie, 3) d'un état psychologique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(cf. ATF 132 V 65 consid. 4.2).</w:t>
      </w:r>
    </w:p>
    <w:p>
      <w:r>
        <w:rPr>
          <w:b/>
        </w:rPr>
        <w:t>E. 11</w:t>
      </w:r>
    </w:p>
    <w:p>
      <w:r>
        <w:t>En l'espèce, l'intéressée est suivie médicalement pour de multiples pathologies, dont des troubles somatoformes douloureux. L'ensemble des pathologies et les diagnostics établis par ses médecins traitant ont été reportés dans le rapport d'expertise du Dr I._______ et du Dr J._______. Les derniers rapports médicaux produits par la recourante récapitulent également l'ensemble des atteintes dont elle souffre.</w:t>
      </w:r>
    </w:p>
    <w:p>
      <w:r>
        <w:rPr>
          <w:b/>
        </w:rPr>
        <w:t>E. 11.1</w:t>
      </w:r>
    </w:p>
    <w:p>
      <w:r>
        <w:t>En ce qui concerne la cardiopathie rhumatismale avec double lésion mitrale, les épisodes de fibrillation auriculaire et l'insuffisance cardiaque, le diabète de type II, l'hypercholstérolémie et l'hypertriglycéridémie, la scoliose lombaire avec discopathie et évolution spondylarthrique et avec une rectification de la lordose lombaire causant une sciatique de plus en plus fréquente, la tendinopathie supraspinale droite avec infiltration, l'ostéoporose, et la manifestation de nodules thyroïdiens, force est de constater ils ne justifient pas à eux seuls une invalidité d'au moins 40%. En effet, compte tenu de l'activité habituellement exercée par la recourante, ces atteintes à la santé n'entraînent qu'une légère limitation fonctionnelle, liée avant tout à certains travaux ménagers nécessitant un travail conséquent du tronc et des épaules. En outre, suite au traitement médicamenteux d'anticoagulation qui a été préscrit et observé, le status cardio-vasculaire a été considéré comme étant dans la norme. La recourante peut de plus compter sur l'appui de son entourage pour effectuer certains travaux ménagers.</w:t>
      </w:r>
    </w:p>
    <w:p>
      <w:r>
        <w:rPr>
          <w:b/>
        </w:rPr>
        <w:t>E. 11.2</w:t>
      </w:r>
    </w:p>
    <w:p>
      <w:r>
        <w:t>Il ressort du rapport rhumatologique du Dr I._______ que l'intéressée présentait lors de la consultation un status avec des limitations fonctionnelles douloureuses, mais non structurelles, à l'examen clinique et des atteintes dégénératives multiples au tronc et aux membres inférieurs. Des examens radiologiques ont été effectués sur demande du Dr I._______ et ont conclu, pour l'essentiel, à une scoliose de la colonne avec hyperlordose, un alignement correct des vertèbres, une légère spondylose, une absence de lésion osseuse des vertèbres, une sclérose sous-chondriale du genou et une ostéophytose débutante ainsi qu'une gonarthrose bilatérale marquée avec un rétrécissement de la cavité synoviale. De ce point de vue le taux d'incapacité de travail est de 20% dans l'activité de ménagère. Sur le plan psychiatrique, le Dr J._______ a retenu une dysthymie et des troubles somatoformes douloureux ne justifiant qu'une diminution de rendement de 15% en grande partie imputable aux dits troubles somatoformes. Ce médecin a retenu l'existence d'une comorbidité psychiatrique liée aux douleurs sous la forme d'une dysthymie, sans toutefois mentionner expressément d'autres facteurs plaidant en faveur de troubles somatoformes douloureux invalidants. Il a relevé une fixation hypocondriaque sur les phénomènes douloureux, une bonne orientation, pas de troubles de la lignée psychotique, une représentation positive de la vie, une bonne communication et une capacité d'adaptation préservée. Il considère que la capacité de travail est réduite seulement de 15%, avec des mesures thérapeutiques, elle pourrait être fixé à 90%. Globalement les experts concluent à une incapacité de travail de 30%. Dans sa prise de position du 15 mai 2008, le Dr K._______ du Service médical de l'OAIE s'est montré circonspect en ce qui concerne le diagnostic de dysthymie en considération du status psychiatrique décrit dans le rapport du Dr J._______, mais l'a toutefois retenu comme diagnostic ayant une incidence sur la capacité de travail. Le médecin de l'OAIE a par ailleurs relevé que A._______ ne présentait notamment aucun repli social. Le Tribunal administratif fédéral observe de plus que, selon ledit rapport, l'assurée n'a manifesté encore ni ralentissement de la pensée, ni perte d'énergie ou d'intérêt, ni difficultés de concentration, ni idées suicidaires, ni dépréciation de soi, ni troubles du sommeil ou alimentaire, ni asthénie, ni irritabilité, de sorte qu'on ne saurait retenir la présence d'une comorbidité psychiatrique importante par sa gravité, son acuité et sa durée. Il s'ensuit que les troubles somatoformes douloureux dont est atteinte l'intéressée, bien qu'existants et l'affectant dans ses activités quotidiennes, ne peuvent être retenus selon la jurisprudence comme invalidants car ils ne sont pas en relation avec une comorbidité psychiatrique suffisante ou une situation telle que l'intéressée ne puisse y faire face dans ses activités ménagères et son cadre familial. Cela étant, le Service médical de l'OAIE a toutefois confirmé les conclusions du rapport d'expertise pluridisciplinaire en ce qui concerne la capacité de travail globale qui est estimée à 70%, retenant au final un taux d'invalidité de 20% dans les tâches ménagères.</w:t>
      </w:r>
    </w:p>
    <w:p>
      <w:r>
        <w:rPr>
          <w:b/>
        </w:rPr>
        <w:t>E. 11.3</w:t>
      </w:r>
    </w:p>
    <w:p>
      <w:r>
        <w:t>Selon les indications fournies par l'assurée dans le questionnaire pour les assurés travaillant dans le ménage rempli en date du 4 avril 2008, A._______ s'estime incapable d'effectuer une grande partie des tâches ménagères. Il y a lieu ici d'observer, à ce sujet, que la portée probatoire de ce questionnaire est très limitée du fait d'être un document établi par l'intéressée elle-même. Au vu du rapport d'expertise du Dr I._______ et du Dr J._______ et des autres pièces de nature médicale versées au dossier, les réponses indiquées par la recourante ne peuvent être estimé comme étant réalistes. C'est donc à juste titre que le médecin de l'OAIE a considéré, avec réserve, pour son évaluation de l'invalidité le questionnaire du 4 avril 2008.</w:t>
      </w:r>
    </w:p>
    <w:p>
      <w:r>
        <w:rPr>
          <w:b/>
        </w:rPr>
        <w:t>E. 11.4</w:t>
      </w:r>
    </w:p>
    <w:p>
      <w:r>
        <w:t>Toujours est-il que l'intéressée ne peut justifier une invalidité de 40% en moyenne sur une année dans les tâches ménagères, ses atteintes de type fibromyalgique n'étant pas liées à une comorbidité psychiatrique grave ou à des circonstances aggravantes (cf. supra consid.11.) retenues par la jurisprudence comme propres à rendre une fibromyalgie invalidante au sens de la la LAI.</w:t>
      </w:r>
    </w:p>
    <w:p>
      <w:r>
        <w:rPr>
          <w:b/>
        </w:rPr>
        <w:t>E. 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(art. 21 al. 4 LPGA; arrêt I 294/99 du Tribunal fédéral du 4 juillet 2000 consid. 1; ATF 130 V 97 consid. 3.2 et les références citées; ATF 123 V 233 consid. 3c; Ueli Kieser, Schweizerisches Sozial-versicherungsrecht, Zurich/St-Gall 2008, p. 204; Thomas Locher, Grundriss des Sozialversicherungsrechts, 3ème éd., Berne 2003, p. 122 s., 235, 268 ss). Il convient également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Pratique VSI 1999 p. 247 consid. 1, 1998 p. 296 consid. 3b).</w:t>
      </w:r>
    </w:p>
    <w:p>
      <w:r>
        <w:rPr>
          <w:b/>
        </w:rPr>
        <w:t>E. 13</w:t>
      </w:r>
    </w:p>
    <w:p>
      <w:r>
        <w:t>Il s'ensuit que c'est à juste titre que l'OAIE a rejeté par décision du 11 juillet 2008 la demande de prestations de l'assurance-invalidité suisse déposée par la recourante le 9 juin 2004.</w:t>
      </w:r>
    </w:p>
    <w:p>
      <w:r>
        <w:rPr>
          <w:b/>
        </w:rPr>
        <w:t>E. 14</w:t>
      </w:r>
    </w:p>
    <w:p>
      <w:r>
        <w:t>Vu l'issue de la cause, les frais de procédure, fixés par le Tribunal administratif fédéral à Fr. 300.- sont mis à la charge de la recourante (art. 63 al. 1 PA et art. 3 let. b du règlement du 21 février 2008 concernant les frais, dépens et indemnités fixés par le Tribunal administratif fédéral [FITAF, RS 173.320.2]). Ce montant est compensé avec l'avance de frais fournie. Il n'est pas alloué de dépens (art. 64 al. 1 PA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