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C-5159/2013 vom 20. Oktober 2014</w:t>
      </w:r>
    </w:p>
    <w:p>
      <w:r>
        <w:t>Bundesverwaltungsgericht, 2014-10-20, FR</w:t>
      </w:r>
    </w:p>
    <w:p>
      <w:r>
        <w:rPr>
          <w:b/>
        </w:rPr>
        <w:t xml:space="preserve">Quelle: </w:t>
      </w:r>
      <w:r>
        <w:t>https://mcp.opencaselaw.ch/entscheid/bvger_C-5159_2013</w:t>
      </w:r>
    </w:p>
    <w:p>
      <w:r>
        <w:t>FR: TAF C-5159/2013 du 20 octobre 2014</w:t>
      </w:r>
    </w:p>
    <w:p>
      <w:r>
        <w:t>IT: TAF C-5159/2013 del 20 ottobre 2014</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3.2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w:t>
      </w:r>
    </w:p>
    <w:p>
      <w:r>
        <w:rPr>
          <w:b/>
        </w:rPr>
        <w:t>E. 4.2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4.3</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4.4</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4.5</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w:t>
      </w:r>
    </w:p>
    <w:p>
      <w:r>
        <w:rPr>
          <w:b/>
        </w:rPr>
        <w:t>E. 4.6</w:t>
      </w:r>
    </w:p>
    <w:p>
      <w:r>
        <w:t>Conformément à l'art. 30 al. 1 et 2 LAVS, la rente est calculée après revalorisation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w:t>
      </w:r>
    </w:p>
    <w:p>
      <w:r>
        <w:rPr>
          <w:b/>
        </w:rPr>
        <w:t>E. 5.2</w:t>
      </w:r>
    </w:p>
    <w:p>
      <w:r>
        <w:t>En outre, il ressort des directives concernant les rentes (DR) de l'assurance, vieillesse, survivants et invalidité, en vigueur dès le 1er janvier 2003, état au 1er janvier 2013 (ci-après: les Directives; n°5011-5014), que dans le cas d'une personne assurée soumise à l'obligation de payer de cotisations, il sied de retenir une année entière de cotisations si le CI fait ressortir, pour l'année considérée, des inscriptions qui atteignent au moins les montants des revenus figurant dans l'appendice I des directives (pp. 286 ss). En pareil cas, l'année entière compte comme durée de cotisations, quand bien même la durée effective inscrite dans le CI s'étend sur une période inférieure à une année entière.</w:t>
      </w:r>
    </w:p>
    <w:p>
      <w:r>
        <w:rPr>
          <w:b/>
        </w:rPr>
        <w:t>E. 5.3</w:t>
      </w:r>
    </w:p>
    <w:p>
      <w:r>
        <w:t>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6</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3ème éd. Berne 2011, pp. 292 ss). L'autorité dirige la procédure, elle définit les faits pertinents et les preuves nécessaires, qu'elle ordonne et apprécie d'office (cf. supra consid. 2).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7.1</w:t>
      </w:r>
    </w:p>
    <w:p>
      <w:r>
        <w:t>Dans le cas particulier, l'assuré a fait valoir dans son recours qu'un revenu d'environ CHF 10'000.- n'avait pas été pris en compte dans le calcul de la rente et demandé en substance une rente plus élevée que dans la décision attaquée.</w:t>
      </w:r>
    </w:p>
    <w:p>
      <w:r>
        <w:rPr>
          <w:b/>
        </w:rPr>
        <w:t>E. 7.2</w:t>
      </w:r>
    </w:p>
    <w:p>
      <w:r>
        <w:t>De son côté l'autorité inférieure, concluant au rejet du recours et à la confirmation de la décision attaquée, mentionne dans sa réponse du 12 novembre 2013 (TAF pce 4) que le revenu d'environ CHF 10'000.- de la Caisse de compensation du Canton de St-Gall a bien été pris en compte, mais que, par contre, un revenu de CHF 7'800.- a été communiqué à la CSC après l'envoi de la décision attaquée et que la prise en compte de ce revenu complémentaire n'a pas d'influence sur le montant de la rente.</w:t>
      </w:r>
    </w:p>
    <w:p>
      <w:r>
        <w:rPr>
          <w:b/>
        </w:rPr>
        <w:t>E. 7.3</w:t>
      </w:r>
    </w:p>
    <w:p>
      <w:r>
        <w:t>En l'espèce, le Tribunal constate que l'autorité inférieure a effectué les recherches idoines auprès des caisses de compensation compétentes et que, en procédure de recours, toutes les cotisations de l'assuré ont finalement été prises en compte ou que, du moins, le recourant ne fait pas valoir d'autres cotisations qui n'auraient pas été prises en compte.</w:t>
      </w:r>
    </w:p>
    <w:p>
      <w:r>
        <w:rPr>
          <w:b/>
        </w:rPr>
        <w:t>E. 8</w:t>
      </w:r>
    </w:p>
    <w:p>
      <w:r>
        <w:t>Au vu de ce qui précède, le Tribunal de céans se doit de constater que la CSC a correctement fixé le montant de la rente du recourant à CHF 1'826.- par mois à compter du 1er décembre 2012. En effet, comme le précise par ailleurs l'autorité de première instance, malgré le revenu de CHF 7'800.- concernant les mois de juillet à décembre, qui doit être ajouté aux revenus de l'année 2008, le montant de la rente, fixé à raison comme dit ci-dessus, à CHF 1'826.- par mois, ne subit aucune modification. Partant, le recours, manifestement infondé, doit être rejeté dans une procédure à juge unique en application de l'art. 85bis al. 3 LAVS en relation avec l'art. 23 al. 2 LTAF. La décision sur opposition du 25 juillet 2013 est maintenue dans son intégralité.</w:t>
      </w:r>
    </w:p>
    <w:p>
      <w:r>
        <w:rPr>
          <w:b/>
        </w:rPr>
        <w:t>E. 9</w:t>
      </w:r>
    </w:p>
    <w:p>
      <w:r>
        <w:t>Il n'est pas perçu de frais de procédure, celle-ci étant gratuite (art. 85bis al. 2 LAVS). Vu l'issue de la cause, il n'est pas non plus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