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C-5154/2009 vom 11. Oktober 2010</w:t>
      </w:r>
    </w:p>
    <w:p>
      <w:r>
        <w:t>Bundesverwaltungsgericht, 2010-10-11, DE</w:t>
      </w:r>
    </w:p>
    <w:p>
      <w:r>
        <w:rPr>
          <w:b/>
        </w:rPr>
        <w:t xml:space="preserve">Quelle: </w:t>
      </w:r>
      <w:r>
        <w:t>https://mcp.opencaselaw.ch/entscheid/bvger_C-5154_2009</w:t>
      </w:r>
    </w:p>
    <w:p>
      <w:r>
        <w:t>FR: TAF C-5154/2009 du 11 octobre 2010</w:t>
      </w:r>
    </w:p>
    <w:p>
      <w:r>
        <w:t>IT: TAF C-5154/2009 del 11 ottobre 2010</w:t>
      </w:r>
    </w:p>
    <w:p>
      <w:pPr>
        <w:pStyle w:val="Heading2"/>
      </w:pPr>
      <w:r>
        <w:t>Regeste</w:t>
      </w:r>
    </w:p>
    <w:p>
      <w:r>
        <w:t>Kostenbeteiligung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werden kann.</w:t>
      </w:r>
    </w:p>
    <w:p>
      <w:r>
        <w:rPr>
          <w:b/>
        </w:rPr>
        <w:t>E. 2</w:t>
      </w:r>
    </w:p>
    <w:p>
      <w:r>
        <w:t>Die Verfahrenskosten von Fr. 600.- werden dem Beschwerdeführer auferlegt und mit dem am 26. November 2009 geleisteten Kostenvorschuss gleicher Höhe verrechnet.</w:t>
      </w:r>
    </w:p>
    <w:p>
      <w:r>
        <w:rPr>
          <w:b/>
        </w:rPr>
        <w:t>E. 3</w:t>
      </w:r>
    </w:p>
    <w:p>
      <w:r>
        <w:t>Dieses Urteil geht an: den Beschwerdeführer (Einschreiben) die Vorinstanz (Akten Ref-Nr. N [...] zurück) das Migrationsamt des Kantons Zürich Die vorsitzende Richterin: Der Gerichtsschreiber: Marianne Teuscher Rudolf Grun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