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C-5151/2023 vom 21. August 2023</w:t>
      </w:r>
    </w:p>
    <w:p>
      <w:r>
        <w:t>Bundesverwaltungsgericht, 2023-08-21, DE</w:t>
      </w:r>
    </w:p>
    <w:p>
      <w:r>
        <w:rPr>
          <w:b/>
        </w:rPr>
        <w:t xml:space="preserve">Quelle: </w:t>
      </w:r>
      <w:r>
        <w:t>https://mcp.opencaselaw.ch/entscheid/bvger_C-5151_2023_d20230821</w:t>
      </w:r>
    </w:p>
    <w:p>
      <w:r>
        <w:t>FR: TAF C-5151/2023 du 21 août 2023</w:t>
      </w:r>
    </w:p>
    <w:p>
      <w:r>
        <w:t>IT: TAF C-5151/2023 del 21 agosto 2023</w:t>
      </w:r>
    </w:p>
    <w:p>
      <w:pPr>
        <w:pStyle w:val="Heading2"/>
      </w:pPr>
      <w:r>
        <w:t>Regeste</w:t>
      </w:r>
    </w:p>
    <w:p>
      <w:r>
        <w:t>Strahlenschutz | Strahlenschutz, Kosten für die Beschlagnahme und Ausserbetriebnahme eines Röntgengeräts, Verfügung des BAG vom 21. August 2023. Das BGer ist auf die Beschwerde nicht eingetreten.</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die Beschwerdeführerin, die Vorinstanz und das Eidgenössische Departement des Innern. (Für die Rechtsmittelbelehrung wird auf die nächste Seite verwiesen.) Die Einzelrichterin: Die Gerichtsschreiberin: Regina Derrer Helena Falk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