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C-5148/2016 vom 13. Februar 2017</w:t>
      </w:r>
    </w:p>
    <w:p>
      <w:r>
        <w:t>Bundesverwaltungsgericht, 2017-02-13, DE</w:t>
      </w:r>
    </w:p>
    <w:p>
      <w:r>
        <w:rPr>
          <w:b/>
        </w:rPr>
        <w:t xml:space="preserve">Quelle: </w:t>
      </w:r>
      <w:r>
        <w:t>https://mcp.opencaselaw.ch/entscheid/bvger_C-5148_2016</w:t>
      </w:r>
    </w:p>
    <w:p>
      <w:r>
        <w:t>FR: TAF C-5148/2016 du 13 février 2017</w:t>
      </w:r>
    </w:p>
    <w:p>
      <w:r>
        <w:t>IT: TAF C-5148/2016 del 13 febbraio 2017</w:t>
      </w:r>
    </w:p>
    <w:p>
      <w:pPr>
        <w:pStyle w:val="Heading2"/>
      </w:pPr>
      <w:r>
        <w:t>Regeste</w:t>
      </w:r>
    </w:p>
    <w:p>
      <w:r>
        <w:t>Unfallversicherung (Übriges)</w:t>
      </w:r>
    </w:p>
    <w:p>
      <w:pPr>
        <w:pStyle w:val="Heading2"/>
      </w:pPr>
      <w:r>
        <w:t>Erwägungen</w:t>
      </w:r>
    </w:p>
    <w:p>
      <w:r>
        <w:rPr>
          <w:b/>
        </w:rPr>
        <w:t>E. 1.1</w:t>
      </w:r>
    </w:p>
    <w:p>
      <w:r>
        <w:t>Gemäss Art. 31 VGG beurteilt das Bundesverwaltungsgericht Beschwerden gegen Verfügungen nach Art. 5 VwVG, sofern keine Ausnahme nach Art. 32 VGG vorliegt. Die Zuständigkeit des Bundesverwaltungsgerichts zur Beurteilung von Beschwerden gegen Einspracheentscheide über die Zuteilung der Betriebe und der Versicherten zu den Klassen und Stufen der Prämientarife ist zudem in Art. 109 Bst. b UVG (SR 832.20) ausdrücklich geregelt. Als Vorinstanzen gelten die in Art. 33 VGG genannten Behörden. Die Vaudoise Allgemeine Versicherungs- Gesellschaft AG ist eine Vor-instanz im Sinne von Art. 33 Bst. h VGG.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Rechtsverweigerungsbeschwerde zuständig.</w:t>
      </w:r>
    </w:p>
    <w:p>
      <w:r>
        <w:rPr>
          <w:b/>
        </w:rPr>
        <w:t>E. 1.2</w:t>
      </w:r>
    </w:p>
    <w:p>
      <w:r>
        <w:t>Rechtsverzögerungsbeschwerden richten sich gegen den Nichterlass einer anfechtbaren Verfügung. Die Beschwerdelegitimation setzt voraus, dass der Rechtssuchende unter anderem vor der Vorinstanz am Verfahren teilgenommen oder keine Möglichkeit zur Teilnahme erhalten hat und ihm Parteistellung zukommt (Art. 6 i.V.m. Art. 48 Abs. 1 Bst. a VwVG). Die Beschwerdeführerin, welche als Arbeitgeberin bei der Vorinstanz eine Kollektiv-Unfallversicherung gemäss UVG abgeschlossen und zudem um Erlass einer anfechtbaren Verfügung ersucht hat, ist zur Beschwerde legitimiert.</w:t>
      </w:r>
    </w:p>
    <w:p>
      <w:r>
        <w:rPr>
          <w:b/>
        </w:rPr>
        <w:t>E. 1.3</w:t>
      </w:r>
    </w:p>
    <w:p>
      <w:r>
        <w:t>Gegen das unrechtmässige Verzögern einer Verfügung kann grundsätzlich jederzeit Beschwerde geführt werden (Art. 50 Abs. 2 VwVG). Die Grenze bildet auch hier der Grundsatz von Treu und Glauben. Verweigert eine Behörde ausdrücklich den Erlass einer Verfügung, so ist innerhalb der gesetzlichen Frist von 30 Tagen Beschwerde zu erheben. Ansonsten kann von der rechtssuchende Partei verlangt werden, dass sie binnen angemessener Frist, nachdem sie von der Rechtsverweigerung oder Rechtsverzögerung Kenntnis erhalten hat, im Rahmen des ihr Zumutbaren die sich aufdrängenden Schritte unternimmt. Die Berechtigung, den Erlass einer anfechtbaren Verfügung zu verlangen, verläuft mit Blick auf die Einheit des Prozesses grundsätzlich parallel zur Beschwerdelegitimation gemäss Art. 48 Abs. 1 VwVG. So muss die beschwerdeführende Person im Zeitpunkt der Beschwerdeführung noch ein schutzwürdiges Interesse an der Vornahme der verweigerten oder verzögerten Amtshandlung haben (André Moser/Michael Beusch/Lorenz Kneubühler, Prozessieren vor dem Bundesverwaltungsgericht, 2. Aufl., 2013, Rz. 5.22 f.). Zum einen geht aus den Akten nicht hervor und es wird von der Vorinstanz im vorliegenden Verfahren nicht geltend gemacht, dass sie ausdrücklich den Erlass einer Verfügung verweigert hat. Zum anderen manifestiert sich das schutzwürdige Interesse der Beschwerdeführerin an der Vornahme der allenfalls verweigerten Amtshandlung in den bei den Akten liegenden Schreiben, mit welcher sie - letztmals am 23. Juni 2016 (act. 1, Beilage 5) - um Erlass einer anfechtbaren Verfügung ersucht hat. Auf die Rechtsverzögerungsbeschwerde ist damit einzutreten.</w:t>
      </w:r>
    </w:p>
    <w:p>
      <w:r>
        <w:rPr>
          <w:b/>
        </w:rPr>
        <w:t>E. 2.1</w:t>
      </w:r>
    </w:p>
    <w:p>
      <w:r>
        <w:t>Das Recht verweigert eine Behörde, die es ausdrücklich ablehnt oder stillschweigend unterlässt, eine Entscheidung zu treffen, obwohl sie dazu verpflichtet wäre. Ein solches Verhalten wird in der Rechtsprechung als formelle Rechtsverweigerung (im engeren Sinn) bezeichnet. Das rechtlich geschützte Interesse besteht hier - unabhängig von der Frage, ob der Betroffene in der Sache obsiegen wird - darin, einen Entscheid zu erhalten, der an eine gerichtliche Beschwerdeinstanz weiterziehbar ist (André Moser/Michael Beusch/Lorenz Kneubühler, a.a.O., Rz. 5.24).</w:t>
      </w:r>
    </w:p>
    <w:p>
      <w:r>
        <w:rPr>
          <w:b/>
        </w:rPr>
        <w:t>E. 2.2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mit weiteren Hinweisen).</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3</w:t>
      </w:r>
    </w:p>
    <w:p>
      <w:r>
        <w:t>Die Beschwerdeführerin verlangte bei der Vaudoise eine anfechtbare Verfügung, da diese die Einreihung der Prämientarife mit der Police 2016 geändert habe. Die Untätigkeit der Vorinstanz stelle eine Weigerung und Verletzung von Art. 29 Abs. 1 BV dar. Die Vaudoise hingegen stellt sich auf den Standpunkt, dass die Änderung der Prämienstufen einzig auf vertraglichen Bestimmungen basiere und nicht verfügt werden müsse. Es handle sich weder um eine nach Art. 124 UVV zu verfügende erstmalige Einstufung, noch um eine Änderung der Einstufung in den Prämientarif. Zu prüfen ist somit, ob seitens der Vorinstanz eine Rechtsverweigerung vorliegt, indem sie es dabei bewenden liess, die Prämienerhöhung durch eine Vertragsänderung vorzunehmen und sich in der Folge weigerte, eine anfechtbare Verfügung zu erlassen.</w:t>
      </w:r>
    </w:p>
    <w:p>
      <w:r>
        <w:rPr>
          <w:b/>
        </w:rPr>
        <w:t>E. 3.1</w:t>
      </w:r>
    </w:p>
    <w:p>
      <w:r>
        <w:t>Gemäss Art. 1 UVG (SR 832.20) sind die Bestimmungen des ATSG (SR 830.1) auf die Unfallversicherung anwendbar, soweit nicht ausdrücklich eine Abweichung vom ATSG vorgesehen ist. Sie finden keine Anwendung in den Bereichen des Medizinalrechts und Tarifwesen, der Registrierung von Unfallversicherern und im Verfahren über geldwerte Streitigkeiten zwischen den Versicherern. Vorliegend sind somit Bestimmungen des ATSG anwendbar. Gemäss Art. 56 ATSG kann gegen Einspracheentscheide oder Verfügungen, gegen welche eine Einsprache ausgeschlossen ist, Beschwerde erhoben werden (Abs. 1). Beschwerde kann auch erhoben werden, wenn der Versicherungsträger entgegen dem Begehren der betroffenen Person keine Verfügung oder keinen Einspracheentscheid erlässt (Abs. 2). Nach Art. 49 Abs. 1 ATSG hat der Versicherungsträger über Leistungen, Forderungen und Anordnungen, die erheblich sind oder mit denen die betroffene Person nicht einverstanden ist, schriftliche Verfügungen zu erlassen. Für den Bereich der Unfallversicherung ist in Art. 124 Bst. d UVV (SR 832.202) ausdrücklich geregelt, dass über die erstmalige Einreihung eines Betriebes in die Klassen und Stufen der Prämientarife sowie die Änderung der Einreihung eine schriftliche Verfügung zu erlassen ist.</w:t>
      </w:r>
    </w:p>
    <w:p>
      <w:r>
        <w:rPr>
          <w:b/>
        </w:rPr>
        <w:t>E. 3.2</w:t>
      </w:r>
    </w:p>
    <w:p>
      <w:r>
        <w:t>Die Vorinstanz gibt in ihrem Schreiben vom 14. September 2015 (act. 1, Beilage 7), mit welchem sie den Rahmenvertrag gekündigt hat, an, dass über diesen Rahmenvertrag nur noch eine kleine Anzahl Betriebe versichert sei. Die Abgänge per 31. Dezember 2014 hätten durch Neugeschäfte nicht kompensiert werden können. Verschiedene, dem genannten Rahmenvertrag angeschlossene Betriebe zeigten immer noch unverhältnismässig hohe Schadenbelastungen; durch die Rückstufungen per 1. Januar 2015 habe dieser Negativtrend leider nicht aufgehalten werden können. Die übermässig belasteten Policen würden ebenfalls per 31. Dezember 2015 gekündigt werden. Diejenigen Policen, die nicht gekündigt werden müssten, erhielten per 1. Januar 2016 eine neue Police mit den üblichen Konditionen der Vaudoise. Ein Kündigungsrecht aus dieser Vertragsanpassung resultiere nicht; in den aktuellen Policen sei dieses Vorgehen stipuliert. Die Beschwerdeführerin hingegen führt beschwerdeweise aus, sie sei mit der in der Prämienerhöhung in der neuen, per 1. Januar 2016 in Aussicht gestellten Police nicht einverstanden gewesen, weshalb sie die Police am 29. Oktober 2015 gekündigt habe. Die Prämienerhöhung sei nicht rechtens erfolgt, da sie nicht verfügt worden sei. Es ist vorliegend unbestritten, dass die Prämien im Jahr 2016 im Vergleich zum Vorjahr erhöht worden sind. Zu prüfen ist, ob die Prämienerhöhung tatsächlich, wie von der Vorinstanz angenommen, durch eine Vertragsanpassung erfolgen durfte, oder ob darüber verfügt hätte werden müssen. Auf die Frage, ob die Kündigung der Police durch die Beschwerdeführerin rechtmässig erfolgt ist, ist im vorliegenden Verfahren nicht einzugehen.</w:t>
      </w:r>
    </w:p>
    <w:p>
      <w:r>
        <w:rPr>
          <w:b/>
        </w:rPr>
        <w:t>E. 3.3</w:t>
      </w:r>
    </w:p>
    <w:p>
      <w:r>
        <w:t>Gemäss der am 28. November 2013 ausgestellten und vom 1. Januar 2014 bis 31. Dezember 2016 gültigen "Versicherungspolice Kollektiv-Unfallversicherung gemäss UVG, obligatorische Versicherung" (Police Nr. 00089362 5 1700; act. 1, Beilage 6) betrug die provisorische Jahresprämie Fr. 65'973.-. Die Einreihung in den Tarif erfolgte dergestalt: Berufsunfälle (BU) Klasse 61 Stufe</w:t>
      </w:r>
    </w:p>
    <w:p>
      <w:r>
        <w:rPr>
          <w:b/>
        </w:rPr>
        <w:t>E. 3.4</w:t>
      </w:r>
    </w:p>
    <w:p>
      <w:r>
        <w:t>Die Rechtsverweigerungsbeschwerde vom 22. August 2016 ist gutzuheissen und die Vorinstanz ist anzuweisen, die Sache ohne weitere Verzögerung an die Hand zu nehmen, über die Änderung der Einreihung in den Tarif im Zusammenhang mit der Prämie 2016 der UVG-Versicherung eine Verfügung zu erlassen und das Verfahren zügig abzuschliessen. 4. Zu befinden bleibt noch über die Verfahrenskosten und eine allfällige Parteientschädigung. 4.1 Gemäss Art. 63 Abs. 1 VwVG sind die Verfahrenskosten der unterliegenden Partei aufzuerlegen, wobei der geleistete Kostenvorschuss zu berücksichtigen ist. Bei diesem Ausgang des Verfahrens sind keine Verfahrenskosten zu erheben; der Beschwerdeführerin ist der geleistete Kostenvorschuss von Fr. 800.- zurückzuerstatten. 4.2 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Rechtsvertretung keine Kostennote eingereicht hat, ist die Parteientschädigung auf Grund der Akten festzulegen (Art. 14 Abs. 2 in fine VGKE). Unter Berücksichtigung der massgeblichen Bemessungsfaktoren (vgl. Art. 8 ff. VGKE) ist diese auf insgesamt Fr. 800.- festzusetzen (Art. 14 Abs. 2 und Art. 10 Abs. 2 VGKE). Die Vorinstanz ist anzuweisen, der Beschwerdeführerin diesen Betrag als Parteientschädigung zu entrichten. (Das Dispositiv befindet sich auf der nächsten Seite)</w:t>
      </w:r>
    </w:p>
    <w:p>
      <w:r>
        <w:rPr>
          <w:b/>
        </w:rPr>
        <w:t>E. 04</w:t>
      </w:r>
    </w:p>
    <w:p>
      <w:r>
        <w:t>Nichtberufsunfälle (NBU) Klasse 12 Unterklasse 03 In den Akten liegt der Auszug "Versicherungsantrag für die Kollektivversicherung gemäss UVG Nr. 89362 5 1700" (Ausdruck datiert vom 27. Oktober 2015) in welchem unter den allgemeinen Bestimmungen eine Vertragsdauer vom 1. Januar 2016 bis 31. Dezember 2016 festgehalten wurde. Zur Art der Mutation wurde eine Vertragsänderung angegeben, wobei es sich um eine stillschweigende Erneuerung handle. Die Totalprämie wurde mit Fr. 85'551.- festgelegt. Die Einreihung in den Tarif gestaltete sich folgendermassen: Berufsunfälle (BU) Klasse 64 Stufe/Unterklasse</w:t>
      </w:r>
    </w:p>
    <w:p>
      <w:r>
        <w:rPr>
          <w:b/>
        </w:rPr>
        <w:t>E. 8</w:t>
      </w:r>
    </w:p>
    <w:p>
      <w:r>
        <w:t>Nichtberufsunfälle (NBU) Klasse</w:t>
      </w:r>
    </w:p>
    <w:p>
      <w:r>
        <w:rPr>
          <w:b/>
        </w:rPr>
        <w:t>E. 12</w:t>
      </w:r>
    </w:p>
    <w:p>
      <w:r>
        <w:t>Stufe/Unterklasse 5 Offensichtlich hat die Vorinstanz den Rahmenvertrag, auf welchem die vom 1. Januar 2014 bis 31. Dezember 2016 gültige Police beruhte, gekündigt und in der Folge der Beschwerdeführerin eine neue Police in Aussicht gestellt. Die Vorinstanz führt dazu aus, dass es sich dabei wohl um eine Änderung der Prämienstufen handle, diese aber einzig und allein auf den vertraglichen Bestimmungen des Typenvertrags erfolgt sei, auf welchen das Vertragsverhältnis zwischen der Beschwerdeführerin und der Vaudoise beruhe. Deshalb seien in Bezug auf die Prämienerhöhung die Vorschriften des OR anwendbar. Es handle sich vorliegend nicht um eine Änderung der Einstufung in den Prämientarif (act. 1, Beilage 4). Aufgrund der dem Bundesverwaltungsgericht zugänglichen Akten ist jedoch klar eine Änderung der Einreihung in die Tarife ersichtlich. So waren in der bis zum 31. Dezember 2015 gültigen Versicherungspolice die BU in die Klasse 61, Stufe 04 und die NBU in die Klasse 12, Unterklasse 03 eingereiht worden. Im Versicherungsantrag, welcher ab 1. Januar 2016 gültig war, erfolgte die Einreihung der BU in die Klasse 64, Stufe/Unterklasse 8 und die NBU in die Klasse 12, Stufe/Unterklasse 5. Die Vorinstanz äusserte sich nicht zum Schreiben der Beschwerdeführerin vom 23. Juni 2016 (act. 1, Beilage 5), mit welchem sie mit Verweis auf Art. 124 UVV auf eine veränderte Einstufung hingewiesen hatte. Insbesondere führte die Vorinstanz nicht aus, inwiefern keine Änderung der Einreihung der BU resp. der NBU stattgefunden haben soll. Anlässlich des Beschwerdeverfahrens vor dem Bundesverwaltungsgericht nahm sie nicht zu der von der Beschwerdeführerin in diesem Zusammenhang vorgebrachten Rüge Stellung. Zudem weigerte sie sich, trotz zweimaliger Aufforderung des Bundesverwaltungsgerichts, diesem die gesamten Akten zuzustellen. Aufgrund der im Recht liegenden Unterlagen sieht es das Bundesverwaltungsgericht als erwiesen an, dass in der ab 1. Januar 2016 gültigen Versicherungspolice eine Änderung in die Einreihung in den Tarif erfolgt ist. Art. 124 UVV verlangt ausdrücklich, dass in diesem Fall eine schriftliche Verfügung zu erlassen ist. Demnach wäre die Vorinstanz verpflichtet gewesen, über diese Änderung zu verfügen. Ihr diesbezügliches Unterlassen trotz mehrmaliger Aufforderung stellt eine Rechtsverweigerung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