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C-5137/2013 vom 18. November 2014</w:t>
      </w:r>
    </w:p>
    <w:p>
      <w:r>
        <w:t>Bundesverwaltungsgericht, 2014-11-18, DE</w:t>
      </w:r>
    </w:p>
    <w:p>
      <w:r>
        <w:rPr>
          <w:b/>
        </w:rPr>
        <w:t xml:space="preserve">Quelle: </w:t>
      </w:r>
      <w:r>
        <w:t>https://mcp.opencaselaw.ch/entscheid/bvger_C-5137_2013</w:t>
      </w:r>
    </w:p>
    <w:p>
      <w:r>
        <w:t>FR: TAF C-5137/2013 du 18 novembre 2014</w:t>
      </w:r>
    </w:p>
    <w:p>
      <w:r>
        <w:t>IT: TAF C-5137/2013 del 18 novembre 2014</w:t>
      </w:r>
    </w:p>
    <w:p>
      <w:pPr>
        <w:pStyle w:val="Heading2"/>
      </w:pPr>
      <w:r>
        <w:t>Regeste</w:t>
      </w:r>
    </w:p>
    <w:p>
      <w:r>
        <w:t>Schengen-Visum</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das BFM, das mit der Abweisung der Einsprache betreffend Verweigerung eines Schengen-Visums eine Verfügung im erwähnten Sinne und daher ein zulässiges Anfechtungsobjekt erlassen hat. Eine Ausnahme nach Art. 32 VGG liegt nicht vor.</w:t>
      </w:r>
    </w:p>
    <w:p>
      <w:r>
        <w:rPr>
          <w:b/>
        </w:rPr>
        <w:t>E. 1.2</w:t>
      </w:r>
    </w:p>
    <w:p>
      <w:r>
        <w:t>Das Rechtsmittelverfahren richtet sich nach dem VwVG, soweit das VGG nichts anderes bestimmt (vgl. Art. 37 VGG).</w:t>
      </w:r>
    </w:p>
    <w:p>
      <w:r>
        <w:rPr>
          <w:b/>
        </w:rPr>
        <w:t>E. 1.3</w:t>
      </w:r>
    </w:p>
    <w:p>
      <w:r>
        <w:t>Die Beschwerdeführer sind gemäss Art. 48 Abs. 1 VwVG zur Beschwerde berechtigt (vgl. BVGE 2014/1 E.1.3 - 1.3.2). Auf die im Übrigen frist- und formgerecht eingereichte Beschwerde ist einzutreten (vgl. Art. 50 und 52 VwVG).</w:t>
      </w:r>
    </w:p>
    <w:p>
      <w:r>
        <w:rPr>
          <w:b/>
        </w:rPr>
        <w:t>E. 1.4</w:t>
      </w:r>
    </w:p>
    <w:p>
      <w:r>
        <w:t>Das Bundesverwaltungsgericht entscheidet in der vorliegenden Angelegenheit endgültig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mit Hinweisen).</w:t>
      </w:r>
    </w:p>
    <w:p>
      <w:r>
        <w:rPr>
          <w:b/>
        </w:rPr>
        <w:t>E. 3</w:t>
      </w:r>
    </w:p>
    <w:p>
      <w:r>
        <w:t>Der angefochtenen Verfügung liegt das Gesuch eines indischen Staatsangehörigen um Erteilung eines Visums für einen 15-tägigen Aufenthalt in der Schweiz zugrunde. Da sich der Gesuchsteller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2 - 5 AuG).</w:t>
      </w:r>
    </w:p>
    <w:p>
      <w:r>
        <w:rPr>
          <w:b/>
        </w:rPr>
        <w:t>E. 4</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BVGE 2014/1 E. 4.1.5).</w:t>
      </w:r>
    </w:p>
    <w:p>
      <w:r>
        <w:rPr>
          <w:b/>
        </w:rPr>
        <w:t>E. 5.1</w:t>
      </w:r>
    </w:p>
    <w:p>
      <w:r>
        <w:t>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der Verordnung vom 22. Oktober 2008 über die Einreise und die Visumserteilung [VEV, SR 142.204] i.V.m. Art. 5 Abs. 1 der Verordnung [EG] Nr. 562/2006 des Europäischen Parlaments und Rates vom 15. März 2006 über einen Gemeinschaftskodex für das Überschreiten der Grenzen durch Personen [nachfolgend: Schengener Grenzkodex bzw. SGK], ABl. L 105/1 vom 13.04.2006; Art. 14 Abs. 1 Bst. a c und Art. 21 Abs. 1 der Verordnung [EG] Nr. 810/2009 des Europäischen Parlaments und des Rates vom 13. Juli 2009 über einen Vissakodex der Gemeinschaft [Visakodex] [nachfolgend: Visakodex], ABl. L 243/1 vom 15.09.2009; vgl. zum Personenkreis: Art. 2 Ziff. 5 und Ziff. 6 SGK).</w:t>
      </w:r>
    </w:p>
    <w:p>
      <w:r>
        <w:rPr>
          <w:b/>
        </w:rPr>
        <w:t>E. 5.2</w:t>
      </w:r>
    </w:p>
    <w:p>
      <w:r>
        <w:t>Sind - abgesehen vom Visum selbst - die Voraussetzungen für die rechtmässige Einreise nicht erfüllt, darf ein für den gesamten Schengen-Raum geltendes "einheitliches Visum" nicht erteilt werden. Allerdings kann ein Mitgliedstaat in Ausnahmefällen ein sog. "Visum mit räumlich beschränkter Gültigkeit" erteilen, das nur für das Hoheitsgebiet des betreffenden Mitgliedstaats gilt.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 BVGE 2011/48 E. 4.6).</w:t>
      </w:r>
    </w:p>
    <w:p>
      <w:r>
        <w:rPr>
          <w:b/>
        </w:rPr>
        <w:t>E. 5.3</w:t>
      </w:r>
    </w:p>
    <w:p>
      <w:r>
        <w:t>Anhang I zur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21.03.2001; zum vollständigen Quellennachweis vgl. Fussnote zu Art. 4 Abs. 1 VEV) zeigen diejenigen Staaten auf, deren Staatsangehörige beim Überschreiten der Aussengrenzen der Schengen-Mitgliedstaaten im Besitze eines Visums sein müssen. Da Indien in dieser Liste aufgeführt ist, unterliegt der Gesuchsteller der Visumspflicht.</w:t>
      </w:r>
    </w:p>
    <w:p>
      <w:r>
        <w:rPr>
          <w:b/>
        </w:rPr>
        <w:t>E. 6.1</w:t>
      </w:r>
    </w:p>
    <w:p>
      <w:r>
        <w:t>Die Vorinstanz begründet die Abweisung der Einsprache im Wesentlichen damit, dass die Wiederausreise des Gesuchstellers nicht gewährleistet sei. Bei der Beurteilung des Kriteriums der gesicherten Wiederausreise muss ein zukünftiges Verhalten beurteilt werden. Hierzu sind lediglich Prognosen möglich, wobei jedoch sämtliche Umstände des konkreten Einzelfalles zu würdigen sind. Dabei ist einerseits die allgemeine Lage im Herkunftsland und andererseits die individuelle Situation der gesuchstellenden Person in die Beurteilung mit einzubeziehen. Insbesondere ist die Ausstellung eines Visums zu verweigern, wenn der Aufenthaltszweck und die Umstände des geplanten Aufenthalts nicht genügend belegt wurden (Art. 32 Visakodex i.V. Art. 12 VEV).</w:t>
      </w:r>
    </w:p>
    <w:p>
      <w:r>
        <w:rPr>
          <w:b/>
        </w:rPr>
        <w:t>E. 6.2.1</w:t>
      </w:r>
    </w:p>
    <w:p>
      <w:r>
        <w:t>Indien gehört zu den aufstrebenden Schwellenländern und ist eine der am stärksten expandierenden Volkswirtschaften der Welt. Trotzdem sieht sich das Land in Bezug auf die Entwicklung der Infrastruktur, der Förderung der Bildung sowie der Armutsbekämpfung vor grosse Aufgaben gestellt. Das durchschnittliche Pro-Kopf-Einkommen liegt bei etwa 1000 USD pro Jahr. Etwa 30 % der Bevölkerung lebt unterhalb der Armutsgrenze von 1 USD pro Kopf und Tag; weniger als 2 USD pro Tag zur Verfügung haben sogar 70 % der Bevölkerung (Quellen: Deutsches Auswärtiges Amt, www.auswaertiges-amt.de &gt; Reise &amp; Sicherheit Reise- und Sicherheitshinweise: Länder A Z &gt; Indien &gt; Wirtschaft, Stand März 2014, abgerufen im November 2014). Weitere Vertiefungen zur wirtschaftlichen Lage in Kapurthala (dem Herkunfts-/Aufenthaltsort) erübrigen sich, da der Gesuchsteller anscheinend in stabilen finanziellen Verhältnissen lebt (E. 6.2.4).</w:t>
      </w:r>
    </w:p>
    <w:p>
      <w:r>
        <w:rPr>
          <w:b/>
        </w:rPr>
        <w:t>E. 6.2.2</w:t>
      </w:r>
    </w:p>
    <w:p>
      <w:r>
        <w:t>Bei der dargelegten wirtschaftlichen Lage und dem grossen Migrationsdruck in Indien ist nicht zu beanstanden, dass die Vorinstanz das Risiko einer nicht fristgerechten Wiederausreise von Besuchern aus Indien allgemein als hoch einschätzt, insbesondere, wenn durch die Anwesenheit von Bekannten oder Verwandten bereits ein minimales soziales Beziehungsnetz besteht.</w:t>
      </w:r>
    </w:p>
    <w:p>
      <w:r>
        <w:rPr>
          <w:b/>
        </w:rPr>
        <w:t>E. 6.2.3</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w:t>
      </w:r>
    </w:p>
    <w:p>
      <w:r>
        <w:rPr>
          <w:b/>
        </w:rPr>
        <w:t>E. 6.2.4</w:t>
      </w:r>
    </w:p>
    <w:p>
      <w:r>
        <w:t>Der Gesuchsteller verfügt als ehemaliger Berufssoldat über eine solide Pension von monatlich 16'274 Rupien (umgerechnet ca. Fr. 239.-). Er hat ein Haus und Land, das von einem Pächter genutzt wird. Insgesamt lebt der Gesuchsteller in Indien anscheinend in gesicherten finanziellen Verhältnissen. Dass der Gesuchsteller für im Punjab herrschende Bedingungen gut situiert ist, beeinflusst die Risikoeinschätzung nur geringfügig, besteht doch immer noch ein deutliches Wohlstandsgefälle zwischen dem Punjab und der Schweiz. Überdies müssen für die Erteilung eines Visums weitere Voraussetzungen erfüllt sein.</w:t>
      </w:r>
    </w:p>
    <w:p>
      <w:r>
        <w:rPr>
          <w:b/>
        </w:rPr>
        <w:t>E. 6.2.5</w:t>
      </w:r>
    </w:p>
    <w:p>
      <w:r>
        <w:t>Der Gesuchsteller ist pensioniert. Seine Tochter wohnt gemäss den Akten in Indien. Der Gesuchsteller lebt zusammen mit seiner Ehefrau im gemeinsamen Haushalt. Über die Beziehung zwischen dem Gesuchsteller und der Tochter bzw. dem Gesuchsteller und seiner Ehefrau lässt sich den Akten nichts entnehmen. Ebenso wird völlig offen gelassen, weshalb nur bezüglich des Visums des Gesuchstellers Beschwerde erhoben wurde und nicht auch bezüglich des Visums seiner Ehefrau. Generell ergeben sich aus den Unterlagen keine gewichtigen persönlichen, familiären oder beruflichen Verpflichtungen des Gesuchstellers in Indien, welche die Prognose für eine anstandslose und fristgerechte Wiederausreise begünstigen würden.</w:t>
      </w:r>
    </w:p>
    <w:p>
      <w:r>
        <w:rPr>
          <w:b/>
        </w:rPr>
        <w:t>E. 6.2.6</w:t>
      </w:r>
    </w:p>
    <w:p>
      <w:r>
        <w:t>Eine weitere wichtige Voraussetzung bezüglich des Visavergabeverfahrens ist ausserdem die Bekanntgabe und genügende Belegung des Zwecks und der Umstände des geplanten Aufenthaltes. Die Beschwerdeführer machen vordergründig geltend, dass der Gesuchsteller nach seiner Pensionierung den Onkel seines Schwiegersohns und die Schweiz besuchen möchte. Da die Tochter des Gesuchstellers jedoch (nach eigenen Angaben) in Indien lebt, hat er keinerlei enge Verwandtschaftsverhältnisse in der Schweiz. Hinweise auf eine weitere Tochter in der Schweiz ergeben sich aus den Unterlagen nicht. Des Weiteren stellt sich die Frage, weshalb ein so entfernter Verwandter in der Schweiz, jedoch noch nicht der eigene Sohn in Kanada besucht werden soll. Überdies ergibt sich aus den Akten, dass das United Kingdom und Spanien bereits Visa des Gesuchstellers zum Besuch seines Bruders verweigert haben (2005). Zweifel ergeben sich ebenfalls bezüglich der Besuchsfrist, da gemäss dem Visagesuch und den Flugdaten der Aufenthalt 15 Tage dauern sollte (5. - 20. Mai 2013), der Gastgeber jedoch eine Aufenthaltsdauer von 4 Wochen angegeben hatte. Der Wunsch, den nur sehr entfernt verwandtschaftlich verbundenen Onkel des Schwiegersohns - dessen Verhältnis zur Tochter völlig offengelassen wird - zu besuchen, vermag als alleiniger Besuchsgrund ebenfalls nicht zu überzeugen.</w:t>
      </w:r>
    </w:p>
    <w:p>
      <w:r>
        <w:rPr>
          <w:b/>
        </w:rPr>
        <w:t>E. 7.1</w:t>
      </w:r>
    </w:p>
    <w:p>
      <w:r>
        <w:t>Somit ergibt sich, dass sowohl die Situation des Gesuchstellers im Heimatland als auch die zu wenig belegten Umstände des Besuchsaufenthalts nicht geeignet sind, die aufgrund der allgemeinen Lage im Punjab negativ ausgefallene Prognose (E. 6.2.1) zu Gunsten des Gesuchstellers zu beeinflussen. Die sich aus den Unterlagen ergebenden Ungereimtheiten, Fragen und Zweifel, konnten nicht durch Belege oder Erläuterungen behoben werden.</w:t>
      </w:r>
    </w:p>
    <w:p>
      <w:r>
        <w:rPr>
          <w:b/>
        </w:rPr>
        <w:t>E. 7.2</w:t>
      </w:r>
    </w:p>
    <w:p>
      <w:r>
        <w:t>Insgesamt ist somit die Schlussfolgerung der Vorinstanz, wonach die Wiederausreise des Gesuchstellers angesichts der allgemeinen Lage in Indien und seiner individuellen Situation nicht gesichert sei, nicht zu beanstanden. Die Ausstellung eines einheitlichen Schengen-Visums kommt nach dem Gesagten nicht in Betracht. Ebenso wenig sind Gründe ersichtlich, die für die Ausstellung eines räumlich beschränkten Visums nur für die Schweiz sprechen (E. 5.2). Es wird von den Beschwerdeführenden denn auch nichts Derartiges geltend gemacht.</w:t>
      </w:r>
    </w:p>
    <w:p>
      <w:r>
        <w:rPr>
          <w:b/>
        </w:rPr>
        <w:t>E. 8</w:t>
      </w:r>
    </w:p>
    <w:p>
      <w:r>
        <w:t>Aus den vorstehenden Erwägungen ergibt sich, dass die angefochtene Verfügung Bundesrecht nicht verletzt und den rechtserheblichen Sachverhalt richtig und vollständig feststellt; sie ist auch angemessen (vgl. Art. 49 VwVG). Die Beschwerde ist daher abzuweisen.</w:t>
      </w:r>
    </w:p>
    <w:p>
      <w:r>
        <w:rPr>
          <w:b/>
        </w:rPr>
        <w:t>E. 9</w:t>
      </w:r>
    </w:p>
    <w:p>
      <w:r>
        <w:t>Bei diesem Ausgang des Verfahrens sind die Kosten den Beschwerdeführenden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