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C-5131/2007 vom 16. März 2009</w:t>
      </w:r>
    </w:p>
    <w:p>
      <w:r>
        <w:t>Bundesverwaltungsgericht, 2009-03-16, DE</w:t>
      </w:r>
    </w:p>
    <w:p>
      <w:r>
        <w:rPr>
          <w:b/>
        </w:rPr>
        <w:t xml:space="preserve">Quelle: </w:t>
      </w:r>
      <w:r>
        <w:t>https://mcp.opencaselaw.ch/entscheid/bvger_C-5131_2007</w:t>
      </w:r>
    </w:p>
    <w:p>
      <w:r>
        <w:t>FR: TAF C-5131/2007 du 16 mars 2009</w:t>
      </w:r>
    </w:p>
    <w:p>
      <w:r>
        <w:t>IT: TAF C-5131/2007 del 16 marzo 2009</w:t>
      </w:r>
    </w:p>
    <w:p>
      <w:pPr>
        <w:pStyle w:val="Heading2"/>
      </w:pPr>
      <w:r>
        <w:t>Regeste</w:t>
      </w:r>
    </w:p>
    <w:p>
      <w:r>
        <w:t>Invalidenversicherung (IV)</w:t>
      </w:r>
    </w:p>
    <w:p>
      <w:pPr>
        <w:pStyle w:val="Heading2"/>
      </w:pPr>
      <w:r>
        <w:t>Erwägungen</w:t>
      </w:r>
    </w:p>
    <w:p>
      <w:r>
        <w:rPr>
          <w:b/>
        </w:rPr>
        <w:t>E. 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 Einspracheentscheid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Die Beschwerde wurde frist- und formgerecht durch die ordentlich vertretene Beschwerdeführerin eingereicht (vgl. Art. 38 ff. und Art. 60 ATSG, Art. 52 VwVG). Als Adressatin des angefochtenen Entscheids ist sie durch die Verfügung berührt und sie hat ein schutzwürdiges Interesse an deren Abänderung (Art. 59 ATSG). Auf die Beschwerde ist, nachdem auch der Kostenvorschuss fristgerecht bezahlt wurde, einzutreten.</w:t>
      </w:r>
    </w:p>
    <w:p>
      <w:r>
        <w:rPr>
          <w:b/>
        </w:rPr>
        <w:t>E. 3</w:t>
      </w:r>
    </w:p>
    <w:p>
      <w:r>
        <w:t>Zunächst sind die zur Beurteilung der Streitsache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des streitigen Einspracheentscheides (hier: 28. Juni 2007)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w:t>
      </w:r>
    </w:p>
    <w:p>
      <w:r>
        <w:rPr>
          <w:b/>
        </w:rPr>
        <w:t>E. 3.1.1</w:t>
      </w:r>
    </w:p>
    <w:p>
      <w:r>
        <w:t>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3.1.2</w:t>
      </w:r>
    </w:p>
    <w:p>
      <w:r>
        <w:t>Die Beschwerdeführerin ist spanische Staatsangehörige,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Nach Art. 43 Abs. 1 ATSG prüft der Versicherungsträger die Begehren, nimmt die notwendigen Abklärungen von Amtes wegen vor und holt die erforderlichen Auskünfte ein.</w:t>
      </w:r>
    </w:p>
    <w:p>
      <w:r>
        <w:rPr>
          <w:b/>
        </w:rPr>
        <w:t>E. 3.3.1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3.3.2</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3.3.3</w:t>
      </w:r>
    </w:p>
    <w:p>
      <w:r>
        <w:t>Gemäss Art. 40 der Verordnung Nr. 574/72 hat der Träger eines Mitgliedstaates bei der Bemessung des Grades der Erwerbsminderung die von den Trägern der anderen Staaten erhaltenen ärztlichen Unterlagen und Berichte sowie die verwaltungsmässigen Auskünfte zu berücksichtigen. Jeder Träger behält jedoch die Möglichkeit, durch einen Arzt oder eine Ärztin seiner Wahl die antragstellende Person untersuchen zu lassen.</w:t>
      </w:r>
    </w:p>
    <w:p>
      <w:r>
        <w:rPr>
          <w:b/>
        </w:rPr>
        <w:t>E. 3.4</w:t>
      </w:r>
    </w:p>
    <w:p>
      <w:r>
        <w:t>Ob eine versicherte Person als ganztägig oder zeitweilig erwerbstätig oder als nicht erwerbstätig einzustufen ist - was je zur Anwendung einer anderen Methode der Invaliditätsbemessung (Einkommensvergleich, Betätigungsvergleich, gemischte Methode) führt -, ergibt sich aus der Prüfung, was diese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BGE 133 V 477 E. 6.3, BGE 133 V 504 E. 3.3, je mit Hinweisen).</w:t>
      </w:r>
    </w:p>
    <w:p>
      <w:r>
        <w:rPr>
          <w:b/>
        </w:rPr>
        <w:t>E. 3.5</w:t>
      </w:r>
    </w:p>
    <w:p>
      <w:r>
        <w:t>Bei nicht erwerbstätigen Versicherten, welche im Aufgabenbereich tätig sind und denen die Aufnahme einer Erwerbstätigkeit nicht zugemutet werden kann, wird für die Bemessung der Invalidität in Abweichung von Art. 16 ATSG darauf abgestellt, in welchem Mass sie behindert sind, sich im Aufgabenbereich zu betätigen (Art. 28 Abs. 2bis IVG, spezifische Methode des Betätigungsvergleichs). Als Aufgabenbereich der im Haushalt tätigen Versicherten gelten insbesondere die übliche Tätigkeit im Haushalt, die Erziehung der Kinder sowie gemeinnützige und künstlerische Tätigkeiten (Art. 27 IVV). Mit der 4. IV-Revision, welche per 1. Januar 2004 in Kraft getreten ist, wurde der bisherige Art. 27 Abs. 1 IVV aus Gründen der formalen Gleichbehandlung erwerbs-, teilerwerbs- und nicht erwerbstätiger Personen grossmehrheitlich auf Gesetzesstufe gehoben. Eine materielle Änderung war damit aber nicht verbunden, weshalb die zu Art. 27 Abs. 1 IVV entwickelte Rechtsprechung nach wie vor Gültigkeit hat (vgl. in BGE 134 V 9 nicht publizierte E. 3.2 [Urteil I 246/05 vom 30. Oktober 2007] mit Hinweisen).</w:t>
      </w:r>
    </w:p>
    <w:p>
      <w:r>
        <w:rPr>
          <w:b/>
        </w:rPr>
        <w:t>E. 3.6</w:t>
      </w:r>
    </w:p>
    <w:p>
      <w:r>
        <w:t>Nach der Rechtsprechung haben die im Haushalt Tätigen aufgrund der ihnen obliegenden Schadenminderungspflicht Verhaltensweisen zu entwickeln,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w:t>
      </w:r>
    </w:p>
    <w:p>
      <w:r>
        <w:rPr>
          <w:b/>
        </w:rPr>
        <w:t>E. 3.7</w:t>
      </w:r>
    </w:p>
    <w:p>
      <w:r>
        <w:t>Gemäss Art. 28 Abs. 1 IVG haben Versicherte Anspruch auf eine Viertelsrente, wenn sie zu mindestens 40 % invalid sind, bei einem Invaliditätsgrad von mindestens 50 % besteht ein Anspruch auf eine halbe Rente, bei mindestens 60 % auf eine Dreiviertelsrente und bei mindestens 70 % auf eine ganze Rente.</w:t>
      </w:r>
    </w:p>
    <w:p>
      <w:r>
        <w:rPr>
          <w:b/>
        </w:rPr>
        <w:t>E. 3.8</w:t>
      </w:r>
    </w:p>
    <w:p>
      <w:r>
        <w:t>Der Rentenanspruch entsteht gemäss Art. 29 Abs. 1 IVG frühestens in dem Zeitpunkt, in dem die versicherte Person mindestens zu 40 % bleibend erwerbsunfähig (Art. 7 ATSG) geworden ist (Bst. a) oder während eines Jahres ohne wesentlichen Unterbruch durchschnittlich mindestens zu 40 % arbeitsunfähig (Art. 6 ATSG) gewesen war (Bst. b). Für die Annahme bleibender Erwerbsunfähigkeit im Sinne von Art. 29 Abs. 1 Bst. a IVG und Art. 29 IVV ist nach ständiger Rechtsprechung des Bundesgerichts (bzw. des früheren Eidgenössischen Versicherungsgerichts)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Erwerbsunfähigkeit im Rahmen von Art. 29 IVG Seltenheitswert hat; in Betracht fällt sie etwa bei Amputationen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w:t>
      </w:r>
    </w:p>
    <w:p>
      <w:r>
        <w:rPr>
          <w:b/>
        </w:rPr>
        <w:t>E. 4</w:t>
      </w:r>
    </w:p>
    <w:p>
      <w:r>
        <w:t>Streitig und im vorliegenden Verfahren zu beurteilen ist der Anspruch auf eine ganze Invalidenrente.</w:t>
      </w:r>
    </w:p>
    <w:p>
      <w:r>
        <w:rPr>
          <w:b/>
        </w:rPr>
        <w:t>E. 4.1</w:t>
      </w:r>
    </w:p>
    <w:p>
      <w:r>
        <w:t>Die Vorinstanz hat sich darauf beschränkt, die Arbeitsunfähigkeit bzw. Invalidität im Aufgabenbereich zu ermitteln. Deshalb ist zunächst zu prüfen, ob die Beschwerdeführerin zu Recht als Nichterwerbstätige, die im Aufgabenbereich Haushalt tätig ist, qualifiziert wurde. Die Beschwerdeführerin gab ihre Erwerbstätigkeit im Juni 2001 auf, um mit ihrer Familie nach Spanien zurückzukehren. Im Fragebogen für die Versicherten (Akt. 12) gab sie an, seit Juni 2001 arbeite sie nicht mehr, sie sei im Haushalt tätig. Zur Frage nach einer allfälligen Zeitperiode der Arbeitslosigkeit machte sie keine Angaben. Der in der Beschwerde vorgebrachte Einwand, sie habe sich in Spanien arbeitslos gemeldet und eine Erwerbstätigkeit aufnehmen wollen, lässt sich aufgrund der eigenen Angaben der Beschwerdeführerin im Fragebogen nicht bestätigen, allfällige Beweismittel, um diese Behauptung zu stützen, wurden nicht eingereicht. Nach der Rechtsprechung sind im Verlauf des Abklärungsverfahrens gemachte Angaben stärker zu gewichten als spätere, anders lautende Erklärungen, welche von Überlegungen sozialversicherungsrechtlicher Natur beeinflusst sein können (Urteil des Bundesgerichts I 584/06 vom 24. April 2007 E. 3.2 mit Hinweisen). Gemäss den medizinischen Unterlagen traten die durch das Krebsleiden verursachten Beschwerden akut auf, weshalb auch keine Indizien dafür sprechen, dass gesundheitliche Probleme der Aufnahme einer Erwerbstätigkeit entgegen gestanden hätten. Anzufügen ist schliesslich, dass der Fragebogen für die Versicherten zusammen mit dem Fragebogen für die im Haushalt tätigen Personen vom Rechtsvertreter eingereicht wurde, ohne dass dieser darauf hingewiesen hätte, die Versicherte würde im Gesundheitsfall eine Erwerbstätigkeit ausüben (Akt. 14). Vor diesem Hintergrund erscheint nicht überwiegend wahrscheinlich, dass die Beschwerdeführerin als Gesunde eine Erwerbstätigkeit ausüben würde. Insofern ist der Entscheid der Vorinstanz nicht zu beanstanden.</w:t>
      </w:r>
    </w:p>
    <w:p>
      <w:r>
        <w:rPr>
          <w:b/>
        </w:rPr>
        <w:t>E. 4.2</w:t>
      </w:r>
    </w:p>
    <w:p>
      <w:r>
        <w:t>Unzureichend sind jedoch die Abklärungen der Arbeitsunfähigkeit und die Beurteilung der Beeinträchtigung im Haushalt.</w:t>
      </w:r>
    </w:p>
    <w:p>
      <w:r>
        <w:rPr>
          <w:b/>
        </w:rPr>
        <w:t>E. 4.2.1</w:t>
      </w:r>
    </w:p>
    <w:p>
      <w:r>
        <w:t>Bei den im Haushalt tätigen Versicherten ist - wie bei den Erwerbstätigen - zunächst zu beurteilen, ob und in welchem Umfang die versicherte Person in ihrer Leistungsfähigkeit in qualitativer und/ oder quantitativer Hinsicht eingeschränkt ist. Ist die Arbeitsfähigkeit in qualitativer Hinsicht eingeschränkt, haben die medizinischen Sachverständigen dazu Stellung zu nehmen, welche Tätigkeiten aufgrund des Gesundheitsschadens aus medizinischer Sicht zumutbarerweise noch ausgeübt werden können (siehe E. 3.3.1). Anschliessend ist ein Betätigungsvergleich vorzunehmen. Bei der Einschätzung der Invalidität ist sodann die nach der Rechtsprechung massgebende Schadenminderungspflicht bei im Haushalt tätigen Versicherten zu berücksichtigen (vgl. E. 3.6).</w:t>
      </w:r>
    </w:p>
    <w:p>
      <w:r>
        <w:rPr>
          <w:b/>
        </w:rPr>
        <w:t>E. 4.2.2</w:t>
      </w:r>
    </w:p>
    <w:p>
      <w:r>
        <w:t>Am 16. November 2004 wurde die Beschwerdeführerin aufgrund eines malignen Ovarialtumors operiert (Hysterektomie total und beidseitige Adnexektomie, Ovarektomie und Appendektomie) und im Januar 2005 wurde mit einer Chemotherapie-Behandlung begonnen. Gemäss dem von der IV-Stelle über den spanischen Versicherungsträger eingeholten medizinischen Bericht von Dr. A._______ vom 26. April 2005 (Formular E 213) ist die Beschwerdeführerin für alle Tätigkeiten vollumfänglich arbeitsunfähig. Der Sachverständige erachtete weder die früher im Bereich Textil ausgeübte Tätigkeit, noch eine angepasste Tätigkeit oder eine Arbeit zu Hause als zumutbar. Diese Einschätzung wird jedoch nicht weiter begründet. Unklar ist insbesondere, aufgrund welcher Befunde der Arzt zu dieser Einschätzung kam bzw. ob die Beeinträchtigung hauptsächlich durch die Chemotherapie-Behandlung begründet war. Der Bericht entspricht mangels nachvollziehbarer und schlüssiger Begründung nicht den Anforderungen an eine beweiskräftige medizinische Stellungnahme. Zudem wurde der Bericht von Dr. A._______ zu einem Zeitpunkt erstattet, als die Chemotherapie-Behandlung noch nicht abgeschlossen war und die Prognose sehr unsicher war (vgl. IV-Akt. 33). Es ist deshalb kaum vorstellbar, dass der Experte sechs Monate nach der Operation bereits eine dauernde Invalidität prognostizieren konnte. Die weitere Entwicklung der Gesundheitsbeeinträchtigung bis zum Erlass der Verfügung bzw. des Einspracheentscheides ist nur unvollständig durch Kurzberichte (wobei einzelne handschriftliche Berichte nicht lesbar sind) dokumentiert. Im Bericht von Dr. C._______, Servicio de Oncologia Medica, vom 20. Juli 2005 wird ausgeführt, dass nach sechs Behandlungszyklen Zweifel betreffend der Möglichkeit einer vollständigen Remission bestünden (IV-Akt. 33). Gemäss Bericht von Dr. D._______ vom 2. September 2005 (IV-Akt. 37) wurde die Chemotherapie-Behandlung bis Juli 2005 durchgeführt. Die Patientin habe sich aufgrund eines Durchfall-Syndroms (seit vier Tagen) notfallmässig beim Servicio Oncoloxia Medica gemeldet. Am 9. September 2005 wurde eine PET (vermutlich: Positronen-Emissions-Tomographie) durchgeführt, dabei wurden keine Anzeichen für Tumorschädigungen festgestellt (IV-Akt. 38). Welche Konsequenzen daraus für die weitere Behandlung abgeleitet wurden, ist aus den Akten nicht ersichtlich. Am 28. November 2005 meldete sich die Patientin beim Complexo hospitalario de E._______ und klagte über seit drei Tagen andauernde Bauchschmerzen (IV-Akt. 40). Eine Gesamtbeurteilung des Gesundheitszustandes und der Arbeitsfähigkeit wurde nicht (mehr) vorgenommen.</w:t>
      </w:r>
    </w:p>
    <w:p>
      <w:r>
        <w:rPr>
          <w:b/>
        </w:rPr>
        <w:t>E. 4.2.3</w:t>
      </w:r>
    </w:p>
    <w:p>
      <w:r>
        <w:t>Dass die IV-Stelle keine weiteren medizinischen Stellungnahmen eingeholt hat, erscheint umso erstaunlicher, als sie - zutreffenderweise - darauf hingewiesen hat, dass bei der Beschwerdeführerin ein instabiler Gesundheitsschaden vorliege, weshalb der Rentenanspruch gemäss Art. 29 Abs. 1 Bst. b IVG erst im Zeitpunkt entsteht, in dem die Versicherte während eines Jahres ohne wesentlichen Unterbruch durchschnittlich zu 40 % arbeitsunfähig gewesen ist. Bei Ablauf der Wartezeit standen der IV-Stelle aber keine medizinischen Stellungnahmen zur Verfügung, um die aktuelle Arbeits(un)fähigkeit zu beurteilen.</w:t>
      </w:r>
    </w:p>
    <w:p>
      <w:r>
        <w:rPr>
          <w:b/>
        </w:rPr>
        <w:t>E. 4.2.4</w:t>
      </w:r>
    </w:p>
    <w:p>
      <w:r>
        <w:t>Gemäss dem Bericht des IV-Stellenarztes Dr. B._______ vom 15. Februar 2006 (IV-Akt. 42) leidet die Versicherte infolge der Chemotherapie an allgemeiner Ermüdbarkeit, Verdauungsbeschwerden und Haut-Juckreiz. Aufgrund der Bedeutung des onkologischen Leidens und der durchgeführten Behandlungen sei im Haushalt eine Arbeitsunfähigkeit von 64 % anzunehmen. Weitergehende Ausführungen zur Begründung seiner Einschätzung oder zur Entwicklung der Krankheit enthält der Bericht nicht. Aus der Beurteilung von Dr. B._______ geht nicht hervor, ob er eine medizinische Einschätzung, bei welchen Tätigkeiten die Versicherte eingeschränkt ist, oder einen Betätigungsvergleich im Sinne von Art. 28 Abs. 2bis IVG vorgenommen hat. Allein aus dem Umstand, dass er das verwaltungsinterne Formular zur Einschätzung der Invalidität ausfüllte, welches auf den Weisungen gemäss Rz. 3093 ff. des Kreisschreibens über Invalidität und Hilflosigkeit in der IV (KSIH) beruht, kann nicht geschlossen werden, es handle sich deshalb um einen Betätigungsvergleich. Unklar ist insbesondere, ob und gegebenenfalls wie der von der Versicherten ausgefüllte Fragebogen für im Haushalt tätige Personen berücksichtigt und eine allfällige Schadenminderungspflicht angerechnet wurde.</w:t>
      </w:r>
    </w:p>
    <w:p>
      <w:r>
        <w:rPr>
          <w:b/>
        </w:rPr>
        <w:t>E. 4.2.5</w:t>
      </w:r>
    </w:p>
    <w:p>
      <w:r>
        <w:t>Auch wenn bei den im Ausland wohnenden Versicherten mangels geeigneten Abklärungspersonen keine Haushaltabklärung (im Sinne einer Abklärung an Ort und Stelle gemäss Art. 69 Abs. 2 IVG) durchgeführt werden kann, muss die Beurteilung einer Beeinträchtigung im Haushalt nach analogen Grundsätzen erfolgen. Für den Beweiswert eines Haushaltabklärungsberichts ist nach der Rechtsprechung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I 246/05 vom 30. Oktober 2007] nicht publizierte E. 5.2 mit Hinweisen). Zunächst ist - wie soeben ausgeführt - unklar, welche Beeinträchtigungen im Zeitpunkt des möglichen Rentenanspruchsbeginns im November 2005 aus medizinischer Sicht bestanden haben. Zudem genügt der von der Versicherten ausgefüllte Fragebogen - zusammen mit den übrigen Angaben - nicht, um einen Betätigungsvergleich im Sinne von Art. 28 Abs. 2bis IVG vorzunehmen, weil er zu wenig Informationen über die tatsächlichen Verhältnisse enthält. Aufgrund der Akten kann auch nicht beurteilt werden, ob und gegebenenfalls in welchem Umfang es der Versicherten - im Rahmen ihrer Schadenminderungspflicht - zumutbar wäre, ihre Familienangehörigen zur Mithilfe anzuhalten.</w:t>
      </w:r>
    </w:p>
    <w:p>
      <w:r>
        <w:rPr>
          <w:b/>
        </w:rPr>
        <w:t>E. 4.3</w:t>
      </w:r>
    </w:p>
    <w:p>
      <w:r>
        <w:t>Zusammenfassend ist festzustellen, dass weder die medizinischen Berichte noch die Abklärung der Einschränkungen im Haushalt den Anforderungen der Rechtsprechung genügen. Eine rechtskonforme Beurteilung des Leistungsanspruchs ist somit nicht möglich. Die Sache ist daher an die IV-Stelle zurückzuweisen, damit sie die ergänzenden Abklärungen vornehme und anschliessend über den Rentenanspruch neu verfüge. Bei der Abklärung der medizinischen Anspruchsvoraussetzungen wird sie auch berücksichtigen, dass die Beschwerdeführerin zusätzlich ein orthopädisches Leiden geltend gemacht hat.</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ist der Beschwerdeführerin der geleistete Kostenvorschuss zurück zu erstatten. Den Vorinstanzen werden keine Verfahrenskosten auferlegt (Art. 63 Abs. 2 VwVG).</w:t>
      </w:r>
    </w:p>
    <w:p>
      <w:r>
        <w:rPr>
          <w:b/>
        </w:rPr>
        <w:t>E. 5.2</w:t>
      </w:r>
    </w:p>
    <w:p>
      <w:r>
        <w:t>Die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erscheint eine Vergütung von Fr. 1'200.-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