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C-5115/2023 vom 20. August 2024</w:t>
      </w:r>
    </w:p>
    <w:p>
      <w:r>
        <w:t>Bundesverwaltungsgericht, 2024-08-20, IT</w:t>
      </w:r>
    </w:p>
    <w:p>
      <w:r>
        <w:rPr>
          <w:b/>
        </w:rPr>
        <w:t xml:space="preserve">Quelle: </w:t>
      </w:r>
      <w:r>
        <w:t>https://mcp.opencaselaw.ch/entscheid/bvger_C-5115_2023</w:t>
      </w:r>
    </w:p>
    <w:p>
      <w:r>
        <w:t>FR: TAF C-5115/2023 du 20 août 2024</w:t>
      </w:r>
    </w:p>
    <w:p>
      <w:r>
        <w:t>IT: TAF C-5115/2023 del 20 agosto 2024</w:t>
      </w:r>
    </w:p>
    <w:p>
      <w:pPr>
        <w:pStyle w:val="Heading2"/>
      </w:pPr>
      <w:r>
        <w:t>Regeste</w:t>
      </w:r>
    </w:p>
    <w:p>
      <w:r>
        <w:t>Diritto alla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 2. Il ricorrente è cittadino di uno Stato membro della Comunità europea, è</w:t>
      </w:r>
    </w:p>
    <w:p>
      <w:r>
        <w:t>C-5115/2023 Pagina 5 domiciliato in Italia e sussiste un nesso transfrontaliero, il medesimo es- sendo stato assicurato ed avendo lavorato in Svizzera tra il 2013 ed il 2020 (doc. TAF 7;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2</w:t>
      </w:r>
    </w:p>
    <w:p>
      <w:r>
        <w:t>Il ricorrente è cittadino di uno Stato membro della Comunità europea, è domiciliato in Italia e sussiste un nesso transfrontaliero, il medesimo essendo stato assicurato ed avendo lavorato in Svizzera tra il 2013 ed il 2020 (doc. TAF 7;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del Regolamento n. 883/2004 in relazione con l’Allegato II del regola- 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w:t>
      </w:r>
    </w:p>
    <w:p>
      <w:r>
        <w:t>C-5115/2023 Pagina 6 concernente le disposizioni transitorie della riforma Ulteriore sviluppo dell’AI sul sistema di rendite lineare [C DT US AI; valida dal 1° gennaio 2022, stato al 1° gennaio 2022] cifre marginali 1007 a 1010). Nel caso in esame, il diritto alla rendita potendo nascere al più presto il 1° maggio 2022 (cfr. art. 29 LAI), si applicano di principio le disposizioni legali in vigore al 1° gennaio 2022.</w:t>
      </w:r>
    </w:p>
    <w:p>
      <w:r>
        <w:rPr>
          <w:b/>
        </w:rPr>
        <w:t>E. 3.3</w:t>
      </w:r>
    </w:p>
    <w:p>
      <w:r>
        <w:t>Il potere cognitivo di questo Tribunale è delimitato dalla data della de- cisione impugnata, in concreto il 20 giugno 2023.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Secondo l'art. 43 cpv. 1 LPGA e l'art. 69 cpv. 2 OAI (RS 831.201), l'UAIE esamina le domande concernenti le prestazioni d'invalidità, intraprende d'ufficio i necessari accertamenti e raccoglie le informazioni di cui ha biso- gno, in particolare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rPr>
          <w:b/>
        </w:rPr>
        <w:t>E. 5.1</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 In virtù dell’art. 28 cpv. 1bis LAI, la rendita secondo l’art. 28 cpv. 1 LAI non è concessa fintantoché non sono esaurite le possibilità d’integrazione secondo l’art. 8 cpv. 1bis e 1ter LAI.</w:t>
      </w:r>
    </w:p>
    <w:p>
      <w:r>
        <w:t>C-5115/2023 Pagina 7</w:t>
      </w:r>
    </w:p>
    <w:p>
      <w:r>
        <w:rPr>
          <w:b/>
        </w:rPr>
        <w:t>E. 5.2</w:t>
      </w:r>
    </w:p>
    <w:p>
      <w:r>
        <w:t>Ai sensi dell’art. 28b LAI, l’importo della rendita è determinato quale quota percentuale di una rendita intera (cpv. 1). Se il grado d’invalidità è compreso tra il 50 e il 69%, la quota percentuale corrisponde al grado d’in- validità (cpv. 2). Se il grado d’invalidità è uguale o superiore al 70%, l’assi- curato ha diritto a una rendita intera (cpv. 3). Se il grado d’invalidità è com- preso tra il 40 e il 49%, la rendita corrisponderà in modo lineare ad una quota dal 25 al 47,5% di una rendita intera (cpv. 4).</w:t>
      </w:r>
    </w:p>
    <w:p>
      <w:r>
        <w:rPr>
          <w:b/>
        </w:rPr>
        <w:t>E. 5.3</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 del presente giudizio]; DTF 142 V 547 consid. 3.2), ma al più presto a partire dal mese seguente il compi- mento dei 18 anni. L'art. 29 cpv. 3 LAI precisa altresì che la rendita è ver- sata all'inizio del mese in cui nasce il diritto.</w:t>
      </w:r>
    </w:p>
    <w:p>
      <w:r>
        <w:rPr>
          <w:b/>
        </w:rPr>
        <w:t>E. 5.4</w:t>
      </w:r>
    </w:p>
    <w:p>
      <w:r>
        <w:t>In virtù dell'art. 16 LPGA, applicabile per il rinvio dell'art. 28a cpv. 1 prima frase LAI, per valutare il grado d'invalidità, il reddito che l'assicurato potrebbe conseguire esercitando l'attività ragionevolmente esigibile da lui, dopo la cura medica e l'eventuale esecuzione di provvedimenti d'integra- zione, in una situazione equilibrata del mercato del lavoro (reddito con in- validità) è confrontato con il reddito che egli avrebbe potuto ottenere se non fosse diventato invalido (reddito senza invalidità; metodo generale del raf- fronto dei redditi).</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w:t>
      </w:r>
    </w:p>
    <w:p>
      <w:r>
        <w:t>C-5115/2023 Pagina 8 210 consid. 3.1; sentenze del TF 9C_855/2017 del 22 novembre 2017 con- sid. 3.1 e 9C_826/2009 del 20 luglio 2010 consid. 4.2).</w:t>
      </w:r>
    </w:p>
    <w:p>
      <w:r>
        <w:rPr>
          <w:b/>
        </w:rPr>
        <w:t>E. 6.2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questo mezzo di prova dovendo unicamente, ma pur sempre, essere ordinato qua- lora sussistano dubbi – anche se minimi – riguardo all’attendibilità e alla concludenza delle attestazioni mediche dell’assicurazione (DTF 139 V 225 consid. 5.2; 137 V 201 consid. 1.3.4; 135 V 465 consid. 4.4; 122 V 157 consid. 1d; v. anche, fra le altre, le sentenze del TAF C-2102/2020 del 27 gennaio 2022 consid. 6.9, C-5275/2018 del 29 giugno 2020 consid. 2.6 e C-991/2018 del 13 febbraio 2020 consid. 7.3.3).</w:t>
      </w:r>
    </w:p>
    <w:p>
      <w:r>
        <w:rPr>
          <w:b/>
        </w:rPr>
        <w:t>E. 6.3</w:t>
      </w:r>
    </w:p>
    <w:p>
      <w:r>
        <w:t>I rapporti del servizio medico regionale (SMR) e del servizio medico dell’UAIE sono da considerare basi di giudizio interne dell’istituto assicura- tore e quindi da apprezzare come tali (sentenza del TAF C-2979/2019 del 3 marzo 2022 consid. 8.4 con rinvii).</w:t>
      </w:r>
    </w:p>
    <w:p>
      <w:r>
        <w:rPr>
          <w:b/>
        </w:rPr>
        <w:t>E. 6.4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w:t>
      </w:r>
    </w:p>
    <w:p>
      <w:r>
        <w:t>C-5115/2023 Pagina 9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la sentenza del TAF C-2979/2019 consid. 8.6 con rinvii).</w:t>
      </w:r>
    </w:p>
    <w:p>
      <w:r>
        <w:rPr>
          <w:b/>
        </w:rPr>
        <w:t>E. 6.5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consid. 4.5.2), la capacità lavorativa esigibile di una persona che soffre di tali disturbi deve essere valutata sulla base di una visione d'in- sieme, nell'ambito di una procedura d'accertamento dei fatti strutturata fon- 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 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7</w:t>
      </w:r>
    </w:p>
    <w:p>
      <w:r>
        <w:t>Nel caso in esame, occorre esaminare se prima della resa della decisione impugnata, l'UAIE avrebbe dovuto procedere ad ulteriori misure istruttorie, segnatamente ordinare ulteriori accertamenti specialistici, per potersi de- terminare con cognizione di causa ed il necessario grado della verosimi- glianza preponderante valido nel diritto delle assicurazioni sociali, sullo stato di salute e sulla residua capacità lavorativa dell'insorgente.</w:t>
      </w:r>
    </w:p>
    <w:p>
      <w:r>
        <w:t>C-5115/2023 Pagina 10</w:t>
      </w:r>
    </w:p>
    <w:p>
      <w:r>
        <w:rPr>
          <w:b/>
        </w:rPr>
        <w:t>E. 8.1</w:t>
      </w:r>
    </w:p>
    <w:p>
      <w:r>
        <w:t>Questo Tribunale ritiene giustificata la proposta dell’UAIE rispettiva- mente del proprio servizio medico d’annullamento della decisione impu- gnata con rinvio degli atti di causa all’amministrazione affinché la stessa completi l’istruttoria – conformemente alle indicazioni di cui al rapporto del medico dell’UAIE del 27 marzo 2024 (peraltro l’insorgente, nello scritto del 6 giugno 2024, ha segnalato che concorda con la proposta dell’UAIE di cui alla duplica del 3 aprile 2024, nel senso di procedere ad “un approfondi- mento sanitario”) – ma contrariamente alla succitata proposta dell’ammini- strazione e del medico dell’UAIE – e per i motivi che saranno indicati di seguito – il completamento dell’istruttoria, in seguito al rinvio degli atti di causa da parte di questo Tribunale all’amministrazione, tramite una perizia medica da effettuarsi in Svizzera, dovrà riguardare non solo l’aspetto psi- chiatrico, ma pure l’aspetto cardiologico nonché ortopedico-reumatologico.</w:t>
      </w:r>
    </w:p>
    <w:p>
      <w:r>
        <w:rPr>
          <w:b/>
        </w:rPr>
        <w:t>E. 8.2</w:t>
      </w:r>
    </w:p>
    <w:p>
      <w:r>
        <w:t>Dal profilo psichico, nel rapporto del 17 novembre 2021 della Clinica di riabilitazione di (…; doc. UAIE 24) non era stata oggettivata – come rilevato dal medico dell’UAIE dott. B._______ nella presa di posizione del 27 marzo 2024 (doc. TAF 13) – la presenza di alcun disturbo psichico. I medici riferi- vano comunque che il ricorrente soffriva delle conseguenze dei dolori so- matici, sottoforma di inattività con sentimenti di autosvalutazione ed inuti- lità, irritabilità e ruminazioni importanti. In presenza di segni per chinesio- fobia e catastrofismo, il medesimo era stato sottoposto a colloqui psicote- rapeutici (doc. UAIE 24 pag. 5). Ora, il rapporto del 17 febbraio 2024 del Centro di Salute Mentale di (…; doc. TAF 11) – certo di data posteriore alla decisione impugnata, ma che può essere preso in considerazione nell’am- bito della presente vertenza, dal momento che fornisce, con probabilità preponderante, degli indizi concludenti su una situazione medica esistente già al momento dell’emanazione della decisione litigiosa – diagnostica un disturbo depressivo endoreattivo di entità grave, fa stato di ansia genera- lizzata con attacchi di panico ricorrenti, facile irritabilità, insonnia notturna, crisi di pianto, astenia al mattino, sentimenti di autosvalutazione da “riferire a esiti fratture multiple per caduta accidentale durante il lavoro il 12.4.2021”, segnala uno scarso funzionamento socio-relazionale e lavora- tivo e riferisce che l’insorgente assume farmaci ansiolitici e antidepressivi dal 2021 (v. anche la ricetta medica del 17 febbraio 2024 [doc. TAF 11]). Un accertamento più approfondito dell’affezione psichica appare – come proposto dal dott. B._______ nella presa di posizione del 27 marzo 2024 (doc. TAF 13) – indispensabile.</w:t>
      </w:r>
    </w:p>
    <w:p>
      <w:r>
        <w:t>C-5115/2023 Pagina 11</w:t>
      </w:r>
    </w:p>
    <w:p>
      <w:r>
        <w:rPr>
          <w:b/>
        </w:rPr>
        <w:t>E. 8.3</w:t>
      </w:r>
    </w:p>
    <w:p>
      <w:r>
        <w:t>Peraltro, dal profilo cardiaco, l’insorgente ha indicato, nello scritto del 6 giugno 2024 (doc. TAF 17), che “a causa di questo grave stato psicologico, che ha determinato un consequenziale riverbero fisico, in data 29/04/2024 (…) ha avuto un grave attacco di cuore”. Nella lettera di dimissione ospe- daliera del 3 maggio 2024 (doc. TAF 17) – certo di data posteriore alla decisione impugnata – è segnalato che il ricorrente è stato ricoverato dal 29 aprile al 3 maggio 2024 per un infarto miocardico acuto e sottoposto ad un intervento di angioplastica con impianto di stent medicato di coronaria destra nonché prescritta l’assunzione di una terapia farmacologica (v. an- che il referto di coronarografia del 29 aprile 2024 ed il piano terapeutico del 3 maggio 2024 [doc. TAF 17]). Pure un accertamento approfondito dell’af- fezione cardiaca appare indispensabile.</w:t>
      </w:r>
    </w:p>
    <w:p>
      <w:r>
        <w:rPr>
          <w:b/>
        </w:rPr>
        <w:t>E. 8.4</w:t>
      </w:r>
    </w:p>
    <w:p>
      <w:r>
        <w:t>Per il resto, dal profilo ortopedico-reumatologico, nelle prese di posi- zione del 21 aprile, 29 giugno e 23 novembre 2022 nonché del 12 giugno 2023 (doc. UAIE 39, 89, 108 e 125), il medico dell’UAIE dott.ssa C._______ ha in particolare rilevato che il ricorrente ha subito, il 12 aprile 2021, a seguito di un infortunio professionale (caduta accidentale da una scala), una lussazione alla spalla sinistra con lesione ossea, frattura del processo coracoideo della scapola, frattura delle costole 9 e 10, frattura dei processi trasversi da L1 a L3 a sinistra e lamenta dolori alla colonna lom- bare, alla spalla sinistra, all’anca sinistra (doc. UAIE 24 [rapporto del 17 novembre 2021 della Clinica di riabilitazione di …]). Agli esami radiologici (doc. UAIE 99 [rapporto ortopedico del 6 settembre 2022]), sono rilevabili alterazioni degenerative L1-S1, coxartrosi bilaterale. Quanto all’evoluzione nel tempo delle affezioni ortopedico-reumatologiche, a giudizio del medico dell’UAIE dott. D._______ (v. la presa di posizione del 29 dicembre 2023 [doc. TAF 7]), gli esami clinici e radiologici permettono di concludere che l’insorgente soffre probabilmente della malattia di Forestier, in assenza di una spondiloartropatia, sindrome radicolare, claudicazione neurogena. Si giustifica nondimeno di sottoporre il caso per valutazione ad uno speciali- sta in ortopedia-reumatologia, visto il tempo trascorso dalla stesura dei do- cumenti specialistici presenti agli atti di causa.</w:t>
      </w:r>
    </w:p>
    <w:p>
      <w:r>
        <w:rPr>
          <w:b/>
        </w:rPr>
        <w:t>E. 8.5</w:t>
      </w:r>
    </w:p>
    <w:p>
      <w:r>
        <w:t>In siffatte circostanze, nulla – neppure la giurisprudenza del Tribunale federale di cui a DTF 137 V 210 (cfr. segnatamente il consid. 4.4.1.4) – si oppone al rinvio della causa all'autorità inferiore per completamento dell'i- struttoria necessaria non effettuata (e dunque del tutto mancante) nel senso dell’espletamento di una perizia pluridisciplinare (in psichiatria, car- diologia e ortopedia-reumatologia), perizia da effettuarsi in Svizzera (i periti dovendo conoscere i principi della medicina assicurativa svizzera [v., fra le altre, le sentenze del TAF C-4281/2020 del 10 marzo 2022 consid. 9.2,</w:t>
      </w:r>
    </w:p>
    <w:p>
      <w:r>
        <w:t>C-5115/2023 Pagina 12 C- 4118/2020 del 18 febbraio 2022 consid. 10.3, C-2102/2020 del 27 gen- naio 2022 consid. 7.11 e C-5774/2019 del 26 agosto 2021 consid. 6.2), riservato ogni ulteriore esame che l'evoluzione nel tempo dello stato di sa- lute dell’insorgente dovesse rendere necessario. In assenza di tale istrut- toria complementare, non risultava né risulta in effetti possibile determi- narsi con il necessario grado della verosimiglianza preponderante sullo stato di salute e sulla residua capacità lavorativa del ricorrente. Per conse- guenza, non può essere accolta la conclusione del ricorso mediante la quale l’insorgente chiede il riconoscimento “dell’indennità di invalidità” dal momento che l’accertamento dei fatti è, allo stato attuale, inesatto ed in- completo.</w:t>
      </w:r>
    </w:p>
    <w:p>
      <w:r>
        <w:rPr>
          <w:b/>
        </w:rPr>
        <w:t>E. 8.6</w:t>
      </w:r>
    </w:p>
    <w:p>
      <w:r>
        <w:t>Da quanto esposto, discende che il ricorso deve essere accolto, la de- cisione impugnata annullata e gli atti di causa ritornati all'amministrazione affinché proceda al completamento dell'istruttoria dal profilo medico nel senso precedentemente indicato. A seconda del risultato di tale comple- mento istruttorio, l’Ufficio AI dovrà pure pronunciarsi sulla sfruttabilità di un'(eventuale) residua capacità lavorativa medico-teorica, nonché, a se- conda del risultato di tale esame, effettuare un confronto dei redditi deter- minanti sulla base delle possibili attività sostitutive adeguate ritenute.</w:t>
      </w:r>
    </w:p>
    <w:p>
      <w:r>
        <w:rPr>
          <w:b/>
        </w:rPr>
        <w:t>E. 8.7</w:t>
      </w:r>
    </w:p>
    <w:p>
      <w:r>
        <w:t>Non era altresì necessario dare al ricorrente la possibilità di eventual- mente ritirare il ricorso secondo i dettami della giurisprudenza del Tribunale federale di cui alla sentenza DTF 137 V 314. In effetti, nell'ambito dell'ac- certamento ancora da esperire dall'autorità inferiore, a seguito del rinvio degli atti di causa, non sussiste l'eventualità di una nuova decisione dell'UAIE a detrimento dell'insorgente (v., sulla questione, DTF 137 V 314 consid. 3.2.4) dal momento che nella decisione impugnata del 20 giugno 2023 l'autorità inferiore ha considerato che il ricorrente non ha subito un'in- capacità lavorativa di livello pensionabile durante un anno senza notevole interruzione, perlomeno fino alla data della decisione impugnata (che co- stituisce il limite della cognizione temporale di questo Tribunale nel caso di specie), ed ha respinto la domanda del medesimo volta all'ottenimento di una rendita dell'assicurazione svizzera per l'invalidità.</w:t>
      </w:r>
    </w:p>
    <w:p>
      <w:r>
        <w:rPr>
          <w:b/>
        </w:rPr>
        <w:t>E. 9.1</w:t>
      </w:r>
    </w:p>
    <w:p>
      <w:r>
        <w:t>Visto l'esito della causa, non sono prelevate delle spese processuali (art. 63 PA). L'anticipo spese di fr. 804.98, versato il 7 novembre 2023, sarà restituito al ricorrente allorquando la presente sentenza sarà cresciuta in giudicato.</w:t>
      </w:r>
    </w:p>
    <w:p>
      <w:r>
        <w:t>C-5115/2023 Pagina 13</w:t>
      </w:r>
    </w:p>
    <w:p>
      <w:r>
        <w:rPr>
          <w:b/>
        </w:rPr>
        <w:t>E. 9.2</w:t>
      </w:r>
    </w:p>
    <w:p>
      <w:r>
        <w:t>Si giustifica altresì l'attribuzione di un'indennità a titolo di spese ripetibili (art. 64 PA in combinazione con gli art. 7 e segg. del regolamento del 21 febbraio 2008 sulle tasse e sulle spese ripetibili nelle cause dinanzi al Tri- bunale amministrativo federale [TS-TAF, RS 173.320.2]; v.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2’800.-, te- nuto conto del lavoro effettivo ed utile svolto dal rappresentante del ricor- rente. L'indennità per ripetibili è posta a carico dell'UAIE.</w:t>
      </w:r>
    </w:p>
    <w:p>
      <w:r>
        <w:t>(dispositivo alla pagina seguente)</w:t>
      </w:r>
    </w:p>
    <w:p>
      <w:r>
        <w:t>C-5115/2023 Pagina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