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C-5111/2015 vom 27. Juni 2018</w:t>
      </w:r>
    </w:p>
    <w:p>
      <w:r>
        <w:t>Bundesverwaltungsgericht, 2018-06-27, DE</w:t>
      </w:r>
    </w:p>
    <w:p>
      <w:r>
        <w:rPr>
          <w:b/>
        </w:rPr>
        <w:t xml:space="preserve">Quelle: </w:t>
      </w:r>
      <w:r>
        <w:t>https://mcp.opencaselaw.ch/entscheid/bvger_C-5111_2015</w:t>
      </w:r>
    </w:p>
    <w:p>
      <w:r>
        <w:t>FR: TAF C-5111/2015 du 27 juin 2018</w:t>
      </w:r>
    </w:p>
    <w:p>
      <w:r>
        <w:t>IT: TAF C-5111/2015 del 27 giugno 2018</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29. Juni 2015) eingetretenen Sachverhalt ab (BGE 129 V 1 E. 1.2 mit Hinweis). Deshalb ist vorliegend das im Beschwerdeverfahren eingereichte Gutachten der G._______ vom 25. Juli 2017, das rund zwei Jahre nach Verfügungserlass erstellt worden ist, nur insofern zu berücksichtigen, als es sich (auch) zur Situation vor dem 29. Juni 2015 äussert. 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29. Juni 2015 in Kraft standen; weiter aber auch Vorschriften,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Arbeitsstelle im Kanton B._______; sie wohnt zudem noch im benachbarten Grenzgebiet. Sie hat sich somit zu Recht bei der IV-Stelle B._______ zum Leistungsbezug angemeldet. Der Erlass der Verfügung durch die IVSTA ist gemäss obenstehenden Ausführungen nicht zu beanstanden.</w:t>
      </w:r>
    </w:p>
    <w:p>
      <w:r>
        <w:rPr>
          <w:b/>
        </w:rPr>
        <w:t>E. 4.1</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 (Art. 7 Verordnung [EG] Nr. 883/2004).</w:t>
      </w:r>
    </w:p>
    <w:p>
      <w:r>
        <w:rPr>
          <w:b/>
        </w:rPr>
        <w:t>E. 4.2</w:t>
      </w:r>
    </w:p>
    <w:p>
      <w:r>
        <w:t>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w:t>
      </w:r>
    </w:p>
    <w:p>
      <w:r>
        <w:rPr>
          <w:b/>
        </w:rPr>
        <w:t>E. 4.6</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w:t>
      </w:r>
    </w:p>
    <w:p>
      <w:r>
        <w:rPr>
          <w:b/>
        </w:rPr>
        <w:t>E. 4.7</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April 2014 eingereichten Anmeldung ein Leistungsanspruch frühestens ab 1. Oktober 2014 zu prüfen.</w:t>
      </w:r>
    </w:p>
    <w:p>
      <w:r>
        <w:rPr>
          <w:b/>
        </w:rPr>
        <w:t>E. 5</w:t>
      </w:r>
    </w:p>
    <w:p>
      <w:r>
        <w:t>Aus den Einträgen im individuellen Konto (vgl. IV-act. 11) ist ersichtlich, dass die Beschwerdeführerin lediglich 2 Jahre und 4 Monate Beitragszeit aufweist und somit die dreijährige Mindestbeitragszeit nicht erfüllt hat. Gemäss Art. 6 der Verordnung (EG) Nr. 883/2004 berücksichtigt der zuständige Träger des Mitgliedstaats, soweit erforderlich, die nach den Rechtsvorschriften jedes anderen Mitgliedstaats zurückgelegten Versicherungs- oder Wohnzeiten, als ob es sich nach den von ihm anzuwendenden Rechtsvorschriften zurückgelegten Zeiten handelte (vgl. auch Wegleitung über die Renten [RWL] in der Eidgenössischen Alters-, Hinterlassenen und Invalidenversicherung, Rz. 3004.3). Somit sind vorliegend für die Bestimmung der Mindestbeitragszeit die von der Beschwerdeführerin in Deutschland zurückgelegten Zeiten ebenfalls zu berücksichtigen. Die Beschwerdeführerin hat in der Schweiz mehr als ein Jahr gearbeitet und unter Hinzurechnung der Versicherungszeiten in Deutschland (50 Monate, vgl. IV-act. 19) ist die Mindestbeitragszeit von 3 Jahren erfüllt.</w:t>
      </w:r>
    </w:p>
    <w:p>
      <w:r>
        <w:rPr>
          <w:b/>
        </w:rPr>
        <w:t>E. 6</w:t>
      </w:r>
    </w:p>
    <w:p>
      <w:r>
        <w:t>Unter den Parteien sind vorliegend im Wesentlichen die Beurteilung der Arbeitsfähigkeit und die daraus folgende Bestimmung des IV-Grades strittig. Aufgrund des hier geltenden Untersuchungsgrundsatzes ist nachfolgend umfassend zu prüfen, welche Ansprüche die Beschwerdeführerin gegenüber der Invalidenversicherung hat. Es bleibt demnach abzuklären, ob die Beschwerdeführerin grundsätzlich Anspruch auf eine Rente hat und, falls ja, in welcher Höhe und ab wann.</w:t>
      </w:r>
    </w:p>
    <w:p>
      <w:r>
        <w:rPr>
          <w:b/>
        </w:rPr>
        <w:t>E. 6.1.1</w:t>
      </w:r>
    </w:p>
    <w:p>
      <w:r>
        <w:t>Den Berichten von Dr. med. C._______, Fachärztin für Rheumatologie, Physikalische Medizin und Rehabilitation, vom 5. Mai 2014 (IV-act. 36 S. 29), 22. August 2014 (IV-act. 36 S. 17) und vom 30. Januar 2015 (IV-act. 37) ist folgende Diagnose zu entnehmen: (Verdacht auf) Morbus Sudeck / CRPS bei Status nach Kontusion des linken Fusses (Unfall vom 6. Juni 2013). Die Ärztin stellte fest, dass die Schmerzen der Beschwerdeführerin vorwiegend bewegungs- und belastungsabhängig seien und insbesondere längeres Stehen und Gehen beschwerdeverstärkend wirkten. Die radiologischen Abklärungen hätten allerdings keine eindeutigen pathologischen Befunde ergeben und die Diagnose eines CRPS basiere auf dem klinischen Bild sowie auf dem Ausschluss sonstiger Pathologien. Die Ärztin stellte fest, dass die Beschwerdeführerin bei Tätigkeiten in vorwiegend stehender oder gehender Position eingeschränkt sei, und sie erachtete die Beschwerdeführerin daher in der bisherigen Tätigkeit als MTRA seit dem Unfall als nicht mehr arbeitsfähig. Ein Arbeitsversuch mit einem Pensum von 30-50% im September 2013 habe abgebrochen werden müssen. Am 22. August 2014 attestierte sie der Beschwerdeführerin für behinderungsangepasste Tätigkeiten (vorwiegend sitzende Arbeit ohne langen Anfahrtsweg, ohne längeres Stehen, Gehen sowie Tragen und Heben von Lasten) eine Arbeitsfähigkeit von 50% und am 30. Januar 2015 eine solche von mindestens 70%.</w:t>
      </w:r>
    </w:p>
    <w:p>
      <w:r>
        <w:rPr>
          <w:b/>
        </w:rPr>
        <w:t>E. 6.1.2</w:t>
      </w:r>
    </w:p>
    <w:p>
      <w:r>
        <w:t>Dipl. psych. D._______ attestierte der Beschwerdeführerin am 15. August 2014 (IV-act. 36 S. 16) eine reaktive Depression. Sie führte die Depression auf die starke Belastung im gesamten sozialen Umfeld zurück und empfahl die Durchführung einer intensiven multifaktoriellen Therapie in einem geschützten stationären Setting. Zur Arbeitsfähigkeit äusserte sie sich nicht.</w:t>
      </w:r>
    </w:p>
    <w:p>
      <w:r>
        <w:rPr>
          <w:b/>
        </w:rPr>
        <w:t>E. 6.1.3</w:t>
      </w:r>
    </w:p>
    <w:p>
      <w:r>
        <w:t>Dr. med. E._______, Facharzt für Innere Medizin und Rheumaerkrankungen, erstellte im Auftrag des Unfallversicherers der Beschwerdeführerin am 9. März 2015 ein Gutachten (IV-act. 41) und stellte folgende Diagnosen: 1) Algodystrophie des linken Fusses mit/bei klinisch weitgehender Remission, St.n. Quetschtrauma am 6. Juni 2013, St.n. rezidivierenden Supinationstraumata, 2) chronische Schmerzsymptomatik mit/bei Schlafstörungen, neurokognitiven Beschwerden, Angstzuständen mit Zittern, depressiver Angststörung anamnestisch, psychosozialen Belastungsfaktoren, 3) unspezifische Kreuzschmerzen bei Fehlhaltung, Haltungsinsuffizienz, 4) unklare Knieschmerzen rechts, 5) Hypermobilität mit Beighton Index 7/9, Status nach Operation eines dorsalen Handgelenkganglions anamnestisch 2001, 6) arterielle Hypertonie, ED 1/2014 anamnestisch, 7) Übergewicht und 8) St.n. Schädel-Hirn-Trauma 2005 anamnestisch. In Bezug auf die Arbeitsfähigkeit führte er aus, die bisherige, weitgehend stehend und gehend auszuführende Tätigkeit als MTRA sei bei der gestellten Diagnose wenig sinnvoll. Für eine mehrheitlich sitzende, körperlich leichte Tätigkeit erachtete er die Beschwerdeführerin als zu 100% arbeitsfähig.</w:t>
      </w:r>
    </w:p>
    <w:p>
      <w:r>
        <w:rPr>
          <w:b/>
        </w:rPr>
        <w:t>E. 6.1.4</w:t>
      </w:r>
    </w:p>
    <w:p>
      <w:r>
        <w:t>Dr. med. F._______, Facharzt für Orthopädische Chirurgie und Traumatologie beim RAD, stellte in seinen Stellungnahmen vom 26. März 2015 (IV-act. 45 S. 4 f.) und vom 5. Mai 2015 (IV-act. 45 S. 6) fest, dass keine weiteren medizinischen Abklärungen nötig seien und auf das Gutachten von Dr. med. E._______ abgestellt werden könne. Die Arbeitsfähigkeit schätzte er auf 75%, da die Beschwerdeführerin vermehrt Pausen machen müsse und generell ein langsameres Arbeitstempo habe.</w:t>
      </w:r>
    </w:p>
    <w:p>
      <w:r>
        <w:rPr>
          <w:b/>
        </w:rPr>
        <w:t>E. 6.1.5</w:t>
      </w:r>
    </w:p>
    <w:p>
      <w:r>
        <w:t>Dem interdisziplinären (rheumatologischen und psychiatrischen) Gutachten der G._______ vom 25. Juli 2017 (Beilage 1 zu BVGer-act. 13), das im Beschwerdeverfahren eingereicht worden ist, sind folgende Diagnosen zu entnehmen: 1) chronische Schmerzen bei somatischen und psychischen Faktoren (ICD-10 F45.41) bei Zustand nach unklarer Verletzung, am ehesten einer Kontusion des linken Fusses entsprechend und fraglicher Entwicklung eines CRPS Typ I am linken Fuss, welches (falls jemals vorhanden) inzwischen restlos ausgeheilt ist, bzw. in chronische Schmerzen anderer Genese übergegangen ist und 2) schwere depressive Episode ohne psychotische Symptome (ICD-10 F32.2); differentialdiagnostisch: mittlerweile chronifizierte Depression, im Sinn der ICD-10 rezidivierende depressive Störung, gegenwärtig schwere Episode ohne psychotische Symptome (ICD-10 F33.2) bei schweren, anhaltenden psychosozialen Belastungen (niedriges Einkommen, Probleme in Bezug auf Ehepartner, Erkrankung eines Kindes). In Bezug auf die Arbeitsfähigkeit führten die Gutachter aus, seit dem Unfall bis ein Jahr danach sei von einer Arbeitsunfähigkeit auszugehen, wie sie in den Vorakten dokumentiert sei. Danach liege keine unfallkausale Arbeitsunfähigkeit mehr vor, weder in der angestammten Tätigkeit als Röntgenassistentin noch in einer anderen Tätigkeit.</w:t>
      </w:r>
    </w:p>
    <w:p>
      <w:r>
        <w:rPr>
          <w:b/>
        </w:rPr>
        <w:t>E. 6.2</w:t>
      </w:r>
    </w:p>
    <w:p>
      <w:r>
        <w:t>Den im Verfügungszeitpunkt vorliegenden Berichten (vgl. E. 6.1.1 bis 6.1.4) ist zu entnehmen, dass die Beschwerdeführerin im Wesentlichen (vermutungsweise) durch einen Morbus Sudeck / CRPS in ihrer Arbeitsfähigkeit eingeschränkt ist. Die Gutachter sind sich einig, dass aufgrund dieser Beschwerden im linken Fuss die bisherige Tätigkeit, die vorwiegend stehend und gehend zu verrichten ist, nicht mehr möglich ist. Für eine angepasste Tätigkeit attestierten ihr die Ärzte eine Arbeitsfähigkeit von 50% (Bericht Dr. med C._______ vom 22. August 2014), 70% (Bericht Dr. med. C._______ vom 30. Januar 2015) und 100% (Gutachten Dr. med. E._______ vom 9. März 2015). Die Vorinstanz ging in ihrer Verfügung vom 29. Juni 2015 von einer Arbeitsfähigkeit von 75% in einer Verweistätigkeit aus. Sie begründete die reduzierte Arbeitsfähigkeit damit, dass davon auszugehen sei, dass die Beschwerdeführerin häufiger Pausen benötige und generell ein langsameres Arbeitstempo habe. Aus dem Bericht geht allerdings nicht hervor, weshalb der RAD-Arzt von dieser Annahme ausging. Unter der Bezeichnung "komplexe regionale Schmerzsyndrome" werden Krankheitsbilder zusammengefasst, die die Extremitäten betreffen, sich nach einem schädigenden Ereignis entwickeln und durch anhaltenden Schmerz mit Störungen des vegetativen Nervensystems, der Sensibilität und der Motorik gekennzeichnet sind. Klinisch äussern sich diese Krankheitsbilder durch schwer lokalisierbare brennende Schmerzen (z.B. Allo-dynie, Hyperalgesie) zusammen mit autonomen (Ödeme, Temperatur- und Schweisssekretionsstörung, evtl. trophische Störung der Haut, Nagelveränderungen, lokal vermehrtes Haarwachstum), sensiblen und motorischen Störungen (vgl. Pschyrembel, Klinisches Wörterbuch 2013, 264. überarbeitete Auflage, Berlin/Boston). Aus medizinischer Sicht ist dabei unbestritten, dass gleichzeitig mehrere dieser Symptome vorliegen müssen, damit ein CRPS diagnostiziert werden kann (vgl. dazu die übersichtliche Tabelle 1: http://www.schmerz-nottwil.ch/files/pdf4/13_CRPS_5.11.pdf, zuletzt eingesehen am 18. April 2018). Es ist fraglich, ob diese kumulativen Voraussetzungen bei der Beschwerdeführerin gegeben sind. Die Ärzte haben die Voraussetzungen nicht systematisch geprüft, sondern insbesondere durch Ausschluss anderer Erkrankungen die Diagnose CRPS gestellt. Ein CRPS zu diagnostizieren ist unbestritten schwierig, da keine (genaue, zuverlässige) Methode existiert, um die Erkrankung eindeutig festzustellen. Die Wissenschaft hat indes - wie ausgeführt - Kriterien entwickelt, die bei der Diagnosestellung zu prüfen sind, damit die Erkrankung möglichst zuverlässig festgestellt respektive ausgeschlossen werden kann. Es sind daher zwingend die vorgegebenen Prüfkriterien zu prüfen und zu diskutieren, um eine möglichst zuverlässige Diagnose zu erhalten. Vorliegend haben die Ärzte die Kriterien nicht systematisch geprüft, aber sie sind sich immerhin soweit einig, dass die Beschwerdeführerin glaubhaft Schmerzen hat, die vermutlich auf ein unfallbedingtes CRPS zurückzuführen sind, und dass sie dadurch in ihrer Arbeitsfähigkeit in der bisherigen Tätigkeit als MTRA eingeschränkt ist und daher auf leichte, eher sitzende Tätigkeiten ausweichen sollte. Was die Höhe der Arbeitsfähigkeit anbelangt, ist festzuhalten, dass nicht nachvollziehbar ist, wieso die Vorinstanz von einer Einschränkung von 25% zufolge Verlangsamung des Arbeitstempos oder vermehrtem Pausenbedarf ausgeht, zumal keiner der untersuchenden Ärzte eine solche Einschränkung erwähnte. Weder die untersuchenden Ärzte noch die Vorinstanz respektive deren medizinischer Dienst haben die festgestellten Beschwerden eingehend diskutiert und die daraus zu folgernde Arbeits(un)fähigkeit begründet, weshalb es gestützt auf die vorliegenden Unterlagen nicht möglich ist, zuverlässige Schlussfolgerungen betreffend die Arbeitsfähigkeit der Beschwerdeführerin zu ziehen. Ferner ist unklar, ob die anlässlich des Gutachtens der G._______ diagnostizierten psychischen Beeinträchtigungen (schwere depressive Episode ohne psychotische Symptome, differentialdiagnostisch mittlerweile chronifizierte Depression bei anhaltenden psychosozialen Belastungen) im Verfügungszeitpunkt bereits vorlagen. Um abschliessend zu beurteilen, ob im Verfügungszeitpunkt bereits relevante psychische Beeinträchtigungen vorgelegen haben wird eine entsprechende fachärztliche Einschätzung benötigt. Die sich in den Akten befindlichen Einschätzungen von Dipl. psych. D._______ und Dr. med. E._______ liefern zwar aufgrund der anamnestisch erhobenen Angaben gewisse Hinweise, aber sie erfüllen die rechtsprechungsgemässen Anforderungen nicht, da beiden die entsprechende fachärztliche Kompetenz fehlt. Die von Dipl. psych. D._______ und Dr. med. E._______ erwähnten Probleme psychischer Natur (reaktive Depression [Bericht Dipl. psych. D._______ vom 15. August 2014, IV-act. 36 S. 16] und chronifizierte Schmerzsymptomatik mit/bei Schlafstörungen, neurokognitiven Beschwerden, Angstzuständen mit Zittern, depressiver Anpassungsstörung anamnestisch und psychosozialen Belastungsfaktoren [Gutachten Dr. med. E._______ vom 9. März 2015, IV-act. 41]) hätten die Vorinstanz veranlassen müssen, eine Beurteilung durch eine Fachärztin oder einen Facharzt Psychiatrie einzuholen. Zwei Jahre nach Verfügungserlass sind in den Akten erstmals konkrete und fachärztlich festgestellte Hinweise in Bezug auf relevante psychische Beeinträchtigungen aufgetaucht (vgl. E. 6.1.5). Unklar bleibt allerdings, ob daraus geschlossen werden muss, dass auch bereits früher (namentlich für die Zeit bis zum Verfügungserlass) relevante psychische Beeinträchtigungen bestanden haben, dann dazu äussert sich das G._______-Gutachten nicht. Im Übrigen befasste sich das G._______-Gutachten nur mit der unfallkausalen Arbeitsunfähigkeit, weshalb diese Feststellungen für das IV-Verfahren nicht unbesehen übernommen werden können. Zusammenfassend ist somit festzuhalten, dass sich aus den medizinischen Akten Anhaltspunkte für das Vorliegen eines CRPS ergeben, dass aber mangels lege artis durchgeführter Prüfung nicht beurteilt werden kann, ob daraus eine Arbeitsunfähigkeit resultiert und, gegebenenfalls, in welcher Höhe. Ferner fehlt eine fachärztliche Beurteilung der bereits im Verfügungszeitpunkt vorliegenden Hinweise auf psychische Störungen. Insgesamt fehlt demnach eine gesamthafte medizinische Würdigung der Beschwerden unter Berücksichtigung der gesamten Aktenlage aus der jeweiligen fachärztlichen Sicht. Die Vorinstanz hat es unterlassen, entsprechende Berichte einzuholen respektive die vorhandenen Berichte zu würdigen und zu diskutieren. Somit ist es dem Bundesverwaltungsgericht nicht möglich, aufgrund der vorliegenden Akten mit dem im Sozialversicherungsrecht erforderlichen Beweisgrad der überwiegenden Wahrscheinlichkeit zu beurteilen, ob und gegebenenfalls in welchem Umfang und ab wann ein Anspruch auf Leistungen der Invalidenversicherung besteht. Vielmehr sind dazu weitere medizinische Abklärungen respektive Präzisierungen und eine Auseinandersetzung mit den unterschiedlichen Angaben in den Berichten notwendig.</w:t>
      </w:r>
    </w:p>
    <w:p>
      <w:r>
        <w:rPr>
          <w:b/>
        </w:rPr>
        <w:t>E. 6.3</w:t>
      </w:r>
    </w:p>
    <w:p>
      <w:r>
        <w:t>Die Beschwerdeführerin beantragte im Rahmen ihrer Beschwerde die Rückweisung der Sache zur weiteren Abklärung an die Vorinstanz.</w:t>
      </w:r>
    </w:p>
    <w:p>
      <w:r>
        <w:rPr>
          <w:b/>
        </w:rPr>
        <w:t>E. 6.3.1</w:t>
      </w:r>
    </w:p>
    <w:p>
      <w:r>
        <w:t>Gemäss bundesgerichtlicher Rechtsprechung können die Sozialversicherungsgerichte nicht frei entscheiden, ob sie eine Streitsache zu weiteren medizinischen Abklärungen an die Verwaltung zurückweisen. So hat das Bundesgericht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6.3.2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6.3.3</w:t>
      </w:r>
    </w:p>
    <w:p>
      <w:r>
        <w:t>Hier liegen zwar mehrere vom Bundesverwaltungsgericht zu würdigende Berichte im Recht, aber strittig und zu beurteilen sind schlussendlich auch die auf der unvollständigen Aktenlage beruhenden Schlussfolgerungen von Dr. med. F._______, Facharzt für Orthopädische Chirurgie und Traumatologie beim RAD. Eine Beurteilung ohne eingehende Diskussion der in den Berichten divergierend beurteilten Punkte und ohne Einholung eines psychiatrischen Gutachtens war unter diesen Umständen offensichtlich unzulässig, was zwangsläufig zu einer Präzisierung der vorhandenen Unterlagen hätte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der Gesundheitszustand und demnach auch die Arbeitsfähigkeit der Beschwerdeführerin nicht abschliessend beurteilt werden kann, ist die Beschwerde gutzuheissen und die Angelegenheit zur Vervollständigung des medizinischen Sachverhalts an die Vorinstanz zurückzuweisen.</w:t>
      </w:r>
    </w:p>
    <w:p>
      <w:r>
        <w:rPr>
          <w:b/>
        </w:rPr>
        <w:t>E. 7</w:t>
      </w:r>
    </w:p>
    <w:p>
      <w:r>
        <w:t>Zu befinden bleibt noch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Einer unterliegenden Vorinstanz sind gemäss Art. 63 Abs. 2 VwVG ebenso wenig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zuzusprechen ist. Da keine Kostennote eingereicht wurde, ist die Parteientschädigung unter Berücksichtigung des aktenkundigen und gebotenen Aufwands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