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C-5111/2014 vom 27. Mai 2016</w:t>
      </w:r>
    </w:p>
    <w:p>
      <w:r>
        <w:t>Bundesverwaltungsgericht, 2016-05-27, FR</w:t>
      </w:r>
    </w:p>
    <w:p>
      <w:r>
        <w:rPr>
          <w:b/>
        </w:rPr>
        <w:t xml:space="preserve">Quelle: </w:t>
      </w:r>
      <w:r>
        <w:t>https://mcp.opencaselaw.ch/entscheid/bvger_C-5111_2014</w:t>
      </w:r>
    </w:p>
    <w:p>
      <w:r>
        <w:t>FR: TAF C-5111/2014 du 27 mai 2016</w:t>
      </w:r>
    </w:p>
    <w:p>
      <w:r>
        <w:t>IT: TAF C-5111/2014 del 27 maggio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2C-369/2015 du 22 novembre 2015 consid. 3.2 relatif à l'application de l'art. 30 LEtr), que dans celle en vigueur depuis le 1er septembre 2015.</w:t>
      </w:r>
    </w:p>
    <w:p>
      <w:r>
        <w:rPr>
          <w:b/>
        </w:rPr>
        <w:t>E. 3.3</w:t>
      </w:r>
    </w:p>
    <w:p>
      <w:r>
        <w:t>Il convient de souligner à ce propos que, dans son arrêt 141 II 169, le Tribunal fédéral a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141 II 169 consid. 4.3.2 et 2C_634/2014 consid. 3.1 in fine).</w:t>
      </w:r>
    </w:p>
    <w:p>
      <w:r>
        <w:rPr>
          <w:b/>
        </w:rPr>
        <w:t>E. 3.4</w:t>
      </w:r>
    </w:p>
    <w:p>
      <w:r>
        <w:t>Dans le cas d'espèce, la prolongation de l'autorisation de séjour a été octroyée à A._______ par l'autorité cantonale de première instance et non par une décision prise sur recours par une instance cantonale de recours et le SPOP a soumis sa décision du 22 novembre 2013 à l'approbation du SEM en conformité aux bases légales et à la jurisprudence précitées. Il s'ensuit que le SEM et, a fortiori, le Tribunal ne sont pas liés par les conclusions de l'administration cantonale.</w:t>
      </w:r>
    </w:p>
    <w:p>
      <w:r>
        <w:rPr>
          <w:b/>
        </w:rPr>
        <w:t>E. 3.5</w:t>
      </w:r>
    </w:p>
    <w:p>
      <w:r>
        <w:t>En considération de ce qui précède, l'argumentation développée par le recourant dans ses observations du 14 septembre 2015, selon laquelle la décision du SEM du 16 juillet 2014 avait été rendue sans base légale suffisante, est dépourvue de pertinence.</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2012, ad art. 42 ch. 9). que du droit à l'octroi d'une autorisation d'établissement (art. 43al.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4.3</w:t>
      </w:r>
    </w:p>
    <w:p>
      <w:r>
        <w:t>En l'espèce, A._______ a obtenu une autorisation de séjour par regroupement familial le 26 août 2010, date de son arrivée en Suisse, mais il s'est séparé de son épouse le 21 août 2012 et une procédure de divorce est en cours. Compte tenu du fait que la séparation des époux doit ainsi être considérée comme définitive et que leur vie commune a manifestement duré moins de cinq ans, le recourant ne peut pas se prévaloir des dispositions de l'art. 42 al. 1 et 3 LEtr. 5.En conséquence, il convient d'examiner si A._______ peut se prévaloir d'un droit au renouvellement de son autorisation de séjour en vertu de l'art. 50 LEtr. 5.1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5.2 En l'occurrence, comme déjà relevé ci-avant, les époux A._______-B._______ ont vécu en communauté conjugale en Suisse du 26 août 2010 au 21 août 2012, ce qui n'est nullement contesté dans le recours.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en conséquence pas se prévaloir de l'art. 50 al. 1 let. a LEtr pour prétendre à la prolongation de son autorisation de séjour. 6.6.1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6.2 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6.3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 6.4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6.5 A l'examen du dossier, il est constant que la communauté conjugale n'a pas été dissoute par le décès du conjoint et que le recourant ne se trouve pas victime de violence conjugale. De plus, aucun élément ne permet de penser qu'il se soit marié contre sa volonté. 6.6 S'agissant des possibilités de réintégration du recourant dans son pays d'origine, il convient de relever que celui-ci a passé l'essentiel de son existence au Cambodge, où il a vécu jusqu'à l'âge de 29 ans toutes les années déterminantes pour le développement de sa personnalité. Il n'apparaît en outre pas que son pays lui serait devenu à ce point étranger qu'il ne serait plus en mesure, après une période de réadaptation, d'y retrouver ses repères.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w:t>
      </w:r>
    </w:p>
    <w:p>
      <w:r>
        <w:rPr>
          <w:b/>
        </w:rPr>
        <w:t>E. 7</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notamment ATF 139 I 315 consid. 2.1 et les arrêts du Tribunal fédéral 2C_794/2014 du 23 janvier 2015 consid. 3.2 et 2C_87/2014 du 27 octobre 2014 consid. 4.3).</w:t>
      </w:r>
    </w:p>
    <w:p>
      <w:r>
        <w:rPr>
          <w:b/>
        </w:rPr>
        <w:t>E. 7.1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ATF 131 II 265 consid. 5 et ATF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ATF 139 I 315 consid. 2.2 et l'arrêt du Tribunal fédéral 2C_794/2014 consid. 3.2).</w:t>
      </w:r>
    </w:p>
    <w:p>
      <w:r>
        <w:rPr>
          <w:b/>
        </w:rPr>
        <w:t>E. 7.3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2C_794/2014 consid. 3.2 et la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et ATF 139 I 315 consid. 2.4 et 2.5, ainsi que l'arrêt du Tribunal fédéral 2C_794/2014 consid. 3.2).</w:t>
      </w:r>
    </w:p>
    <w:p>
      <w:r>
        <w:rPr>
          <w:b/>
        </w:rPr>
        <w:t>E. 7.4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 8.En l'espèce, le recourant, qui est père d'un enfant de nationalité suisse et qui dispose d'un droit de visite élargi sur son fils, peut en principe se prévaloir de la protection de la vie familiale consacrée à l'art. 8 CEDH. Il y a donc lieu d'examiner si les conditions jurisprudentielles posées au renouvellement de son autorisation de séjour en vertu de cette disposition conventionnelle sont réalisées dans le cas particulier. 8.1 A ce propos, le Tribunal rappelle d'abord que, par ordonnance du 31 octobre 2012, la Présidente du Tribunal civil de l'arrondissement de l'Est vaudois a attribué la garde de l'enfant C._______ à la mère et dit que A._______ bénéficierait d'un libre et large droit de visite sur son fils C._______ qui s'exercerait, à défaut d'entente avec la mère, les lundis et mardis de 9h00 à 12h00, ainsi qu'un week-end sur deux, les samedis et dimanches de 09h00 à 17h00 et ce durant les mois de novembre et décembre 2012 et que ce droit de visite a été élargi dès le 1er janvier 2013 et devait s'exercer depuis lors les lundis, mardis et mercredis de 09h00 à 12h00, ainsi qu'un week-end sur deux, les samedis et dimanches de 09h00 à 17h00. Le Tribunal relève ensuite que, par ordonnance du 11 septembre 2014, la Présidente du Tribunal civil de l'arrondissement de l'Est vaudois a confirmé le droit de visite élargi du recourant sur son fils C._______ (droit de visite désormais prévu du mardi à 18 heures au mercredi à 18 heures, ainsi qu'un week-end sur deux du vendredi soir à 18 heures au dimanche soir à 18 heures) et a par ailleurs fixé le montant de la contribution mensuelle d'entretien à 100 francs, contribution dont la révision à la hausse était prévue si les revenus du recourant venaient à augmenter. 8.2 S'agissant de l'exercice de ce droit de visite, il ressort du rapport établi le 4 avril 2014 par le Service de protection de la jeunesse de l'Est vaudois à l'attention du Tribunal d'arrondissement de l'Est vaudois, que le recourant entretient des relations harmonieuses avec son fils C._______. Dans son ordonnance du 11 septembre 2014, la Présidente du Tribunal civil de l'arrondissement de l'Est vaudois a par ailleurs considéré que « C._______ est très attaché à son père », que « A._______ est un bon père et un homme sérieux qui fait de nombreux efforts pour s'intégrer en Suisse pour rester vivre auprès de son fils » et que « le requérant offre à son fils des conditions de vie agréables et apaisantes ». Le Tribunal constate par ailleurs que, dans son Bilan périodique de l'action socio-éducative du 15 décembre 2015, le Service de protection de la jeunesse de l'Est vaudois a encore relevé que « les relations entre eux (parents) se sont stabilisées, la communication s'est améliorée et ils arrivent à trouver des arrangements quant au droit de visite... dans ce contexte, l'enfant se développe de manière adéquate, tant physiquement que psychologiquement ». 8.3 S'agissant de la condition de la relation économique, le Tribunal relève que le recourant n'a initialement guère contribué à l'entretien de son fils dès lors qu'il s'est longtemps trouvé sans travail, puis n'a exercé que des emplois de nature temporaire à faible revenu. La situation professionnelle de l'intéressé a toutefois favorablement évolué, dès lors qu'il est désormais au bénéfice d'un emploi en qualité d'aide de cuisine auprès de la Fondation "E._______" pour la période du 26 octobre 2015 au 26 août 2016 et il a adapté le montant de sa contribution mensuelle d'entretien à ses revenus et s'acquitte désormais d'une pension mensuelle de 500.- francs. Dans ces circonstances, compte tenu des efforts consentis par le recourant pour améliorer sa situation financière et de la jurisprudence du Tribunal fédéral, selon laquelle les exigences relatives à l'étendue de la relation que l'étranger doit entretenir avec son enfant d'un point de vue économique doivent rester dans l'ordre du possible et du raisonnable (cf. notamment l'arrêt du Tribunal fédéral 2C_555/2015 du 21 décembre 2015 consid. 5.3 et les références citées), le Tribunal estime que la condition relative à la relation économique étroite doit, en l'espèce, être considérée comme remplie. 8.4 Il apparaît enfin que le recourant rempli également la condition d'un comportement irréprochable en Suisse, tel qu'exigé par la jurisprudence rappelée au considérant 7.3 ci-avant. 9.En considération de ce qui précède, le Tribunal arrive à la conclusion, au vu des relations familiales entretenues par le recourant avec son fils et de la relation économique que celui-ci a réussi à établir en améliorant sa situation professionnelle, que les conditions jurisprudentielles posées au renouvellement de l'autorisation de séjour du recourant en application de l'art. 8 CEDH, en lien avec l'art. 50 LEtr, apparaissent actuellement remplies. Il s'impose toutefois de souligner qu'il s'agit d'un cas limite et que l'autorité cantonale compétente pourra refuser de renouveler l'autorisation de séjour de A._______ si les conditions y relatives ne sont plus remplies (cf. notamment Andreas Zünd et Ladina Arquint Hill, Beendigung der Anwesenheit, Entfernung und Fernhaltung, in : Uebersax et al. [éd.], Ausländerrecht, 2ème éd., 2009, n° 8.44s p. 338ss) Par conséquent, si A._______ ne devait plus maintenir une relation affective et économique avec son fils, par exemple en n'exerçant plus régulièrement son droit de visite ou ne s'acquittant plus régulièrement de la pension due en faveur de son enfant, il ne remplirait plus les conditions posées au renouvellement de son autorisation de séjour en vertu de l'art. 8 CEDH et il appartiendra au SPOP de vérifier le respect de ces conditions lors du renouvellement de l'autorisation de séjour de l'intéressé. 10.Le recours est en conséquence admis, la décision attaquée est annulée et le renouvellement de l'autorisation de séjour de A._______ est approuvé. Bien qu'elle succombe, l'autorité inférieure n'a pas à supporter de frais de procédure (cf.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 art. 8 ss FITAF, que le versement d'un montant de 1'800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