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C-5107/2008 vom 20. November 2008</w:t>
      </w:r>
    </w:p>
    <w:p>
      <w:r>
        <w:t>Bundesverwaltungsgericht, 2008-11-20, DE</w:t>
      </w:r>
    </w:p>
    <w:p>
      <w:r>
        <w:rPr>
          <w:b/>
        </w:rPr>
        <w:t xml:space="preserve">Quelle: </w:t>
      </w:r>
      <w:r>
        <w:t>https://mcp.opencaselaw.ch/entscheid/bvger_C-5107_2008</w:t>
      </w:r>
    </w:p>
    <w:p>
      <w:r>
        <w:t>FR: TAF C-5107/2008 du 20 novembre 2008</w:t>
      </w:r>
    </w:p>
    <w:p>
      <w:r>
        <w:t>IT: TAF C-5107/2008 del 20 novembre 2008</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BFM, welche die Nichtigerklärung einer erleichterten Einbürgerung betreffen (Art. 41 Abs. 1 i.V.m. Art. 27 des Bürgerrechtsgesetzes vom 29. September 1952 [BüG, SR 141.0]). Im Rahmen solcher Beschwerdeverfahren ist das Bundesverwaltungsgericht ebenfalls zur Beurteilung von Ausstandsbegehren zuständig (vgl. BVGE 2007/4 E. 1.1 mit Hinweisen).</w:t>
      </w:r>
    </w:p>
    <w:p>
      <w:r>
        <w:rPr>
          <w:b/>
        </w:rPr>
        <w:t>E. 1.2</w:t>
      </w:r>
    </w:p>
    <w:p>
      <w:r>
        <w:t>Nach Art. 38 VGG gelten die Art. 34 ff. des Bundesgerichtsgesetzes vom 17. Juni 2005 (BGG, SR 173.110) betreffend den Ausstand von Gerichtspersonen im Verfahren vor dem Bundesverwaltungsgericht sinngemäss. Wird das Vorliegen eines Ausstandsgrundes bestritten, so entscheidet die Abteilung unter Ausschluss der betroffenen Gerichtsperson über den Ausstand (Art. 37 Abs. 1 BGG). Für die Bildung des Spruchkörpers sind im Übrigen die allgemeinen Bestimmungen von Art. 21 und 24 VGG i.V.m. Art. 32 des Geschäftsreglements vom 17. April 2008 für das Bundesverwaltungsgericht (VGR, SR 173.320.1) anwendbar (vgl. Zwischenentscheid des Bundesverwaltungsgerichts C-1786/2007 vom 16. Juli 2007 E. 1.3).</w:t>
      </w:r>
    </w:p>
    <w:p>
      <w:r>
        <w:rPr>
          <w:b/>
        </w:rPr>
        <w:t>E. 1.3</w:t>
      </w:r>
    </w:p>
    <w:p>
      <w:r>
        <w:t>Will eine Partei den Ausstand einer Gerichtsperson verlangen, so hat sie dem Gericht ein schriftliches Begehren einzureichen, sobald sie vom Ausstandsgrund Kenntnis erhalten hat (Art. 36 Abs. 1 BGG). Die Beschwerdeführerin stützt ihr Ausstandsbegehren vom 1. Juli 2008 in erster Linie auf die Zwischenverfügung vom 12. Juni 2008, mit welcher ihr Gesuch um Gewährung der unentgeltlichen Rechtspflege im Beschwerdeverfahren C-[...] durch den zuständigen Instruktionsrichter X._______, unter Mitwirkung des Gerichtsschreibers Y._______, abgewiesen wurde. Das vor weiteren Prozesshandlungen bzw. -anordnungen gestellte schriftliche Ausstandsbegehren ist somit als frist- und formgerecht eingereicht zu betrachten (vgl. zu den zeitlichen Anforderungen YVES DONZALLAZ, Loi sur le Tribunal fédéral, Commentaire, Bern 2008, N. 624 ff., mit Hinweisen). Die Beschwerdeführerin ist als Adressatin der vorinstanzlichen Verfügung vom 8. April 2008 betreffend Nichtigerklärung der erleichterten Einbürgerung zur Beschwerdeführung und damit auch zur Stellung eines Ausstandsbegehrens in diesem Verfahren legitimiert (vgl. Art. 48 VwVG). Auf das Begehren ist daher einzutreten.</w:t>
      </w:r>
    </w:p>
    <w:p>
      <w:r>
        <w:rPr>
          <w:b/>
        </w:rPr>
        <w:t>E. 2.1</w:t>
      </w:r>
    </w:p>
    <w:p>
      <w:r>
        <w:t>Die Ausstandsgründe sind in Art. 34 Abs. 1 BGG aufgezählt. Vorliegend kommt keiner der speziellen Tatbestände von Art. 34 Abs. 1 Bst. a - d BGG in Frage. Gemäss der Auffangbestimmung von Art. 34 Abs. 1 Bst. e BGG haben Richter und Richterinnen bzw. Gerichtsschreiber und Gerichtsschreiberinnen in den Ausstand zu treten, wenn sie "aus anderen Gründen" befangen sein könnten. Diese Generalklausel stimmt inhaltlich im Wesentlichen mit Art. 23 Bst. b und c des aufgehobenen Bundesrechtspflegegesetzes vom 16. Dezember 1943 (OG, BS 3 531; vgl. zum vollständigen Quellennachweis Art. 131 BGG) überein (vgl. BVGE 2007/5 E. 2.1 S. 38).</w:t>
      </w:r>
    </w:p>
    <w:p>
      <w:r>
        <w:rPr>
          <w:b/>
        </w:rPr>
        <w:t>E. 2.2</w:t>
      </w:r>
    </w:p>
    <w:p>
      <w:r>
        <w:t>Die Ausstandsregelung von Art. 34 ff. BGG gewährleistet ebenso wie Art. 30 Abs. 1 der Bundesverfassung der Schweizerischen Eidgenossenschaft vom 18. April 1999 (BV, SR 101) und Art. 6 Ziff. 1 der Konvention vom 4. November 1950 zum Schutze der Menschenrechte und Grundfreiheiten (EMRK, SR 0.101) den Anspruch des Einzelnen darauf, dass seine Sache von einem unparteiischen, unvoreingenommenen und unbefangenen Richter ohne Einwirkung von sachfremden Umständen entschieden wird (vgl. BVGE 2007/5 E. 2.2 S. 38 f. mit Hinweisen).</w:t>
      </w:r>
    </w:p>
    <w:p>
      <w:r>
        <w:rPr>
          <w:b/>
        </w:rPr>
        <w:t>E. 2.3</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134 I 20 E. 4.2 S. 21 mit Hinweisen). Der Anschein der Befangenheit kann durch unterschiedlichste Gegebenheiten erweckt werden. Dazu können beispielsweise vor oder während eines Prozesses abgegebene Äusserungen eines Richters zählen, die den Schluss zulassen, dass sich dieser bereits eine feste Meinung über den Ausgang des Verfahrens gebildet hat (vgl. BGE 134 I 238 E. 2.1 S. 240, BGE 133 I 89 E. 3.3 S. 92 f., je mit Hinweisen). Die Abweisung eines Gesuchs um Gewährung der unentgeltlichen Rechtspflege wegen Aussichtslosigkeit der Beschwerde genügt indessen für sich alleine nicht (vgl. BGE 131 I 113 E. 3.7 S. 120 ff., BVGE 2007/5 E. 3.6). Richterliche Verfahrensfehler oder ein falscher Entscheid in der Sache können die Unabhängigkeit bzw. Unparteilichkeit eines Richters bzw. einer Richterin ebenfalls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3.1</w:t>
      </w:r>
    </w:p>
    <w:p>
      <w:r>
        <w:t>Das Ausstandsbegehren stützt sich im Wesentlichen auf die Zwischenverfügung vom 12. Juni 2008, mit welcher das Gesuch der Beschwerdeführerin um Gewährung der unentgeltlichen Rechtspflege abgewiesen wurde. Die Einschätzung der Aussichtslosigkeit der Beschwerde durch die an der Zwischenverfügung als Instruktionsrichter bzw. Gerichtsschreiber involvierten Gerichtspersonen beruhe auf einer willkürlichen Feststellung des rechtserheblichen Sachverhalts und einer für die Beschwerdeführerin nicht voraussehbaren Auswechslung der Begründung. Zudem hätten sich Richter X._______ und Gerichtsschreiber Y._______ bei ihrer Entscheidung auf ausserrechtliche Moralvorstellungen gestützt, indem sie das Bestehen einer Ehe im bürgerrechtlichen Sinne von geschlechtlichen Kontakten der Ehegatten abhängig gemacht hätten.</w:t>
      </w:r>
    </w:p>
    <w:p>
      <w:r>
        <w:rPr>
          <w:b/>
        </w:rPr>
        <w:t>E. 3.1.1</w:t>
      </w:r>
    </w:p>
    <w:p>
      <w:r>
        <w:t>Bezüglich der von der Beschwerdeführerin bzw. von ihrem Rechtsvertreter geltend gemachten Rechtsfehlern ist vorweg festzuhalten, dass es die Beschwerdeführerin unterlassen hat, die Zwischenverfügung vom 12. Juni 2008 mit Beschwerde in öffentlich-rechtlichen Angelegenheiten beim Bundesgericht anzufechten, obwohl ihr diese Möglichkeit offen gestanden hätte (vgl. Art. 82 ff. i.V.m. Art. 93 Abs. 1 Bst. a BGG). Zwar schliessen sich das Ausstands- und das Rechtsmittelverfahren nicht gegenseitig aus, doch sind allfällige Verfahrensfehler oder materielle Rechtsverletzungen in erster Linie auf dem ordentlichen Rechtsmittelweg geltend zu machen und kann ein Ausstandsbegehren nicht als Ersatz für eine (unterlassene) Beschwerde dienen (vgl. BENJAMIN SCHINDLER, Die Befangenheit der Verwaltung, Zürich/Basel/Genf 2002, S. 137 mit Hinweisen, DONZALLAZ, a.a.O., N. 568 mit Hinweisen).</w:t>
      </w:r>
    </w:p>
    <w:p>
      <w:r>
        <w:rPr>
          <w:b/>
        </w:rPr>
        <w:t>E. 3.1.2</w:t>
      </w:r>
    </w:p>
    <w:p>
      <w:r>
        <w:t>Wie bereits erwähnt wurde, genügt sodann der alleinige Umstand, dass die vom Ausstandsbegehren betroffenen Gerichtspersonen das Gesuch der Beschwerdeführerin um Gewährung der unentgeltlichen Rechtspflege wegen Aussichtslosigkeit der Rechtsbegehren abgewiesen haben, nicht, um den Anschein der Befangenheit zu erwecken. Aus der Begründung der fraglichen Zwischenverfügung geht zudem explizit hervor, dass die Beurteilung der Aussichtslosigkeit der Beschwerde lediglich auf einer summarischen Prüfung der vorliegenden Akten beruht hat (vgl. Zwischenverfügung vom 12. Juni 2008, E. 2 und 6). Es kann deshalb nicht ohne weiteres geschlossen werden, Richter X._______ und Gerichtsschreiber Y._______ hätten sich bereits eine endgültige Meinung in der Sache gebildet und seien im vorliegenden Verfahren nicht mehr in der Lage, unvoreingenommen zu urteilen. Die beiden Gerichtspersonen sind im Rahmen einer summarischen Prüfung der Akten zum (vorläufigen) Schluss gelangt, dass seitens der Beschwerdeführerin von Anfang an kein Wille zur Führung einer tatsächlichen Lebensgemeinschaft im bürgerrechtlichen Sinne bestanden habe. Gestützt auf diese Einschätzung wurde darauf verzichtet, auf die in der Beschwerde eingereichten und angebotenen Beweismittel betreffend das von der Vorinstanz in der Verfügung vom 8. April 2008 angeführte (nachträgliche) aussereheliche Verhältnis der Beschwerdeführerin einzugehen. Aus diesen Erwägungen in der Zwischenverfügung vom 12. Juni 2008 ergeben sich indessen keine konkreten Anhaltspunkte dafür, dass Richter X._______ und Gerichtsschreiber Y._______ im Falle neuer Beweismittel bezüglich des ursprünglichen Ehewillens nicht bereit oder in der Lage wären, auf ihre provisorische Einschätzung zurückzukommen und die vorderhand unterlassene Prüfung der Beweismittel betreffend das angebliche aussereheliche Verhältnis der Beschwerdeführerin nachzuholen bzw. gegebenenfalls zu einer positiven Einschätzung der Erfolgsaussichten der Beschwerde zu gelangen. Ein Indiz für eine Voreingenommenheit von Richter X._______ und Gerichtsschreiber Y._______ lässt sich - entgegen der Auffassung des Rechtsvertreters - schliesslich auch nicht aus der in der Zwischenverfügung verwendeten Argumentation ableiten, mit welcher vom angeblichen Fehlen geschlechtlicher Kontakte zwischen den Ehegatten auf einen nicht vorhandenen Willen zur Führung einer tatsächlichen Lebensgemeinschaft geschlossen wurde. Wie auch aus der Stellungnahme vom 6. August 2008 hervorgeht, stützten sich die beteiligten Gerichtspersonen bei ihren diesbezüglichen Ausführungen - ob zu Recht oder zu Unrecht - offensichtlich auf die vom Bundesgericht verwendete Definition des bürgerrechtlichen Begriffs der ehelichen Gemeinschaft, wonach die Ehe auch durch das Bestehen einer geschlechtlichen Gemeinschaft charakterisiert werde (vgl. etwa Urteil des Bundesgerichts 1C_201/2008 vom 1. Juli 2008 E. 3: "la conception de la communauté conjugale que la loi fédérale sur la nationalité tend à protéger [...] implique une communauté de vie étroite, de toit, de table et de lit"). Konkrete Anhaltspunkte, dass es sich bei den fraglichen Erwägungen um eine Äusserung persönlicher Moralvorstellungen der an der Zwischenverfügung beteiligten Gerichtspersonen handeln könnte, liegen demgegenüber nicht vor (vgl. zur Unzulässigkeit weltanschaulich-politischer Äusserungen KIENER, a.a.O., S. 224).</w:t>
      </w:r>
    </w:p>
    <w:p>
      <w:r>
        <w:rPr>
          <w:b/>
        </w:rPr>
        <w:t>E. 3.1.3</w:t>
      </w:r>
    </w:p>
    <w:p>
      <w:r>
        <w:t>Soweit die Beschwerdeführerin ihr Ausstandsbegehren auf die mit Zwischenverfügung vom 12. Juni 2008 erfolgte Abweisung des Gesuchs um Gewährung der unentgeltlichen Rechtspflege stützt, erweist sich das Begehren somit als unbegründet.</w:t>
      </w:r>
    </w:p>
    <w:p>
      <w:r>
        <w:rPr>
          <w:b/>
        </w:rPr>
        <w:t>E. 3.2</w:t>
      </w:r>
    </w:p>
    <w:p>
      <w:r>
        <w:t>Im Rahmen des eingeräumten Replikrechts macht die Beschwerdeführerin zudem geltend, die Befangenheit des Richters X._______ und des Gerichtsschreibers Y._______ werde durch den unsachlichen Ton in der Stellungnahme vom 6. August 2008 und die wiederholte Beschimpfung des Rechtsvertreters als völlig unqualifiziert illustriert.</w:t>
      </w:r>
    </w:p>
    <w:p>
      <w:r>
        <w:rPr>
          <w:b/>
        </w:rPr>
        <w:t>E. 3.2.1</w:t>
      </w:r>
    </w:p>
    <w:p>
      <w:r>
        <w:t>Richterliche Äusserungen zur Person oder zum Verhalten der Prozessbeteiligten sind unter dem Blickwinkel der Unvoreingenommenheit dann problematisch, wenn sie despektierlich, kränkend oder beleidigend sind und eine persönliche Abneigung zum Ausdruck bringen (vgl. SCHINDLER, a.a.O., S. 133 f., KIENER, a.a.O., S. 100, je mit Hinweis; s. auch BVGE 2008/13 E. 10.5). Demgegenüber vermögen blosse scherzhafte oder ungeschickte Äusserungen, verbale Entgleisungen, Unhöflichkeiten oder Ungehaltenheit praxisgemäss in der Regel keine Parteilichkeit zu begründen (vgl. BGE 116 Ia 14 E. 6 S. 21 f., SCHINDLER, a.a.O., S. 135, KIENER, a.a.O., S. 102, je mit Hinweisen). Die Unbefangenheit eines Entscheidungsträgers kann namentlich nicht bereits dann angezweifelt werden, wenn er das Verhalten eines Verfahrensbeteiligten "mit deutlichen Worten" kritisiert; dies zumindest solange die richterlichen Äusserungen bei einer Würdigung der Verfahrensgesamtheit eine angemessene Reaktion auf ein bestimmtes Verhalten darstellen und sachlich gerechtfertigt erscheinen (SCHINDLER, a.a.O., S. 134 f., KIENER, a.a.O., S. 102 f., je mit Hinweisen). Schliesslich ist zu berücksichtigen, dass der Ausstand in einem Spannungsverhältnis zum Anspruch auf Beurteilung der Streitsache durch einen auf abstrakte Weise bestimmten Spruchkörper steht und die Befangenheit auch im Interesse einer beförderlichen Rechtspflege nicht leichthin anzunehmen ist (vgl. ANDRÉ MOSER/MICHAEL BEUSCH/LORENZ KNEUBÜHLER, Prozessieren vor dem Bundesverwaltungsgericht, Basel 2008, Rz. 3.71 mit Hinweisen).</w:t>
      </w:r>
    </w:p>
    <w:p>
      <w:r>
        <w:rPr>
          <w:b/>
        </w:rPr>
        <w:t>E. 3.2.2</w:t>
      </w:r>
    </w:p>
    <w:p>
      <w:r>
        <w:t>Die von Richter X._______ und Gerichtsschreiber Y._______ unterzeichnete Stellungnahme vom 6. August 2008 enthält zwei Passagen, die unter dem Blickwinkel des Anspruchs der Parteien auf einen unvoreingenommen, unparteiischen Richter einer genaueren Betrachtung bedürfen. So wurde darin ausgeführt, dass bezüglich der "irrigen Vorstellungen" des Parteivertreters in Sachen Sachverhaltsfeststellung der blosse Verweis auf Art. 12 VwVG i.V.m. Art. 37 VGG genüge, was "eigentlich Grundwissen für einen berufsmässigen Rechtsvertreter" sei. Zudem wurde dem Rechtsvertreter der Beschwerdeführerin vorgehalten, dass ihm "anstatt Moralvorstellungen anprangern zu wollen", "ein Blick in die geltende Rechtsprechung gut angestanden" wäre. Diese Erwägungen weisen einen belehrenden, mit einer negativen Wertung behafteten Tonfall auf und lassen jene Zurückhaltung vermissen, welche von Richterinnen und Richtern grundsätzlich erwartet werden darf (vgl. zu den richterlichen Verhaltensmaximen: Kiener, a.a.O., S. 100 mit Hinweisen). Zugunsten der betroffenen Gerichtspersonen ist indessen zu berücksichtigen, dass es sich in beiden Fällen um eine inhaltlich nachvollziehbare Kritik an dem zum Teil provokativ formulierten Ausstandsbegehren handelt. So wurde darin etwa der Vorwurf erhoben, die Zwischenverfügung vom 12. Juni 2008 beziehe sich auf eine andere Verfügung und eine andere Begründung, die sich der Instruktionsrichter "selber zusammengereimt" habe, beruhe auf Ausführungen, die "frei erfunden seien" und stütze sich auf eine "äusserst willkürliche" Feststellung des rechtserheblichen Sachverhalts; ausserdem solle das Ganze nach Massstäben beurteilt werden, die "allenfalls den Moralvorstellungen der beiden Herren entsprechen, aber in der schweizerischen Rechtsordnung keinerlei Grundlage" finden würden. Die in der Stellungnahme vom 6. August 2008 verwendeten Formulierungen können sodann bei objektiver Betrachtungsweise nicht als "Beschimpfung" bezeichnet werden, auch wenn sie vom Rechtsvertreter der Beschwerdeführerin offenbar subjektiv als solche empfunden wurden. Im Weiteren ist bei einer Würdigung des gesamten Verfahrensablaufs auch zu berücksichtigen, dass sich die beanstandeten Äusserungen von Richter X._______ und Gerichtsschreiber Y._______ auf die Stellungnahme vom 6. August 2008 beschränken. Anlass für die Einreichung des Ausstandsbegehrens war jedoch die Zwischenverfügung vom 12. Juni 2008, welcher - wie bereits gesehen (vgl. oben Ziff. 3.1) - keine objektiven Anhaltspunkte für eine Befangenheit der beteiligten Gerichtspersonen entnommen werden können. Zwar kann sich die Befangenheit einer Gerichtsperson auch erst nachträglich ergeben, beispielsweise als Folge einer unangemessenen Reaktion auf ein Ausstandsbegehren (vgl. Kiener, a.a.O., S. 104 f.). Den fraglichen Äusserungen kann jedoch für sich alleine nicht ein Gewicht beigemessen werden, welches die betroffenen Gerichtspersonen im Verfahren C-[...] bei objektiver Betrachtungsweise als befangen erscheinen lassen würde.</w:t>
      </w:r>
    </w:p>
    <w:p>
      <w:r>
        <w:rPr>
          <w:b/>
        </w:rPr>
        <w:t>E. 4</w:t>
      </w:r>
    </w:p>
    <w:p>
      <w:r>
        <w:t>Nach dem Gesagten erweist sich das Ausstandsbegehren vom 1. Juli 2008 als unbegründet; es ist daher abzuweisen.</w:t>
      </w:r>
    </w:p>
    <w:p>
      <w:r>
        <w:rPr>
          <w:b/>
        </w:rPr>
        <w:t>E. 5</w:t>
      </w:r>
    </w:p>
    <w:p>
      <w:r>
        <w:t>Bei diesem Ausgang sind der Beschwerdeführerin die Kosten des Ausstandsverfahrens aufzuerlegen (vgl. Art. 63 Abs. 1 VwVG i.V.m. Art. 2 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