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C-5104/2008 vom 2. Juni 2009</w:t>
      </w:r>
    </w:p>
    <w:p>
      <w:r>
        <w:t>Bundesverwaltungsgericht, 2009-06-02, FR</w:t>
      </w:r>
    </w:p>
    <w:p>
      <w:r>
        <w:rPr>
          <w:b/>
        </w:rPr>
        <w:t xml:space="preserve">Quelle: </w:t>
      </w:r>
      <w:r>
        <w:t>https://mcp.opencaselaw.ch/entscheid/bvger_C-5104_2008</w:t>
      </w:r>
    </w:p>
    <w:p>
      <w:r>
        <w:t>FR: TAF C-5104/2008 du 2 juin 2009</w:t>
      </w:r>
    </w:p>
    <w:p>
      <w:r>
        <w:t>IT: TAF C-5104/2008 del 2 giugno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de l'Egypte, X._______ est soumis à l'obligation du visa.</w:t>
      </w:r>
    </w:p>
    <w:p>
      <w:r>
        <w:rPr>
          <w:b/>
        </w:rPr>
        <w:t>E. 7</w:t>
      </w:r>
    </w:p>
    <w:p>
      <w:r>
        <w:t>Au vu de l'ensemble des éléments du dossier, le Tribunal considère qu'il existe un doute fondé quant au but du séjour en Suisse envisagé par X._______ et, par voie de conséquence, à son départ de Suisse au terme du séjour envisagé. En effet, ainsi que cela ressort des indications fournies par l'intéressé lors du dépôt de la demande d'autorisation d'entrée en Suisse (cf. formulaire y relatif signé le 23 avril 2008), ce dernier a motivé ladite demande par le fait qu'il entendait venir conclure des affaires à Genève pour le compte de sa propre compagnie auprès de la société « Geneva Institute of Technology &amp; Commerce ». Il a produit à l'appui de sa requête une lettre d'invitation datée du 2 avril 2008 émanant de la société précitée. Or, selon les indications données par l'Office cantonal de la population à Genève (cf. préavis du 30 juin 2008), la société genevoise est introuvable à l'adresse indiquée, ce qui a conduit l'ODM à considérer que l'invitation précitée constituait manifestement un faux document (cf. courrier du 11 juillet 2008). Invité par l'autorité inférieure à se déterminer à ce propos dans le cadre de la procédure concernant le prononcé d'une mesure d'interdiction d'entrée en Suisse, le recourant a fait valoir, par courrier daté du 30 juillet 2008, que cette lettre d'invitation lui avait été envoyée par une personne souhaitant le mettre en relation avec cette société afin de développer des relations d'affaires et, ayant déjà procédé de cette manière par le passé, il n'avait émis aucun doute à ce sujet. Il a repris ces explications dans son recours, complété par son courrier posté le 11 septembre 2008 depuis l'Egypte. Cependant, il n'en demeure pas moins que le but du voyage que l'intéressé envisageait d'effectuer en Suisse consistait en une série d'entretiens d'affaires avec une société qui est introuvable à l'adresse indiquée. Dans ces circonstances, le Tribunal ne peut que considérer qu'il existe un doute fondé sur les motifs réels du séjour envisagé en Suisse et que le recourant n'a pas été à même d'écarter ce doute. Il convient de préciser à ce sujet que l'indication franche et correcte de l'objet du séjour temporaire envisagé peut être considérée de fait comme une déclaration d'intention de quitter le pays une fois le but de ce séjour atteint et qu'en cas d'indications contradictoires ou invraisemblables sur l'objet du séjour, il y aura lieu de conclure que le requérant n'est pas disposé à quitter l'Espace Schengen à l'échéance du séjour projeté. Dans le cas d'espèce, force est de constater que l'intéressé n'est pas disposé à retourner dans sa patrie, au vu des indications non fondées concernant l'objet de son séjour.</w:t>
      </w:r>
    </w:p>
    <w:p>
      <w:r>
        <w:rPr>
          <w:b/>
        </w:rPr>
        <w:t>E. 8</w:t>
      </w:r>
    </w:p>
    <w:p>
      <w:r>
        <w:t>Par surabondance, il convient encore de relever que le recourant fait l'objet d'une mesure d'éloignement prononcée par l'ODM (cf. décision d'interdiction d'entrée en Suisse du 22 août 2008) notifiée par courrier du 13 mars 2009 et contre laquelle aucun recours n'a été interjeté auprès du Tribunal de céans, de sorte que l'intéressé ne saurait être autorisé à pénétrer sur le territoire suisse jusqu'au 22 août 2009 (cf. en ce sens art. 5 al. 1 let.d LEtr).</w:t>
      </w:r>
    </w:p>
    <w:p>
      <w:r>
        <w:rPr>
          <w:b/>
        </w:rPr>
        <w:t>E. 9</w:t>
      </w:r>
    </w:p>
    <w:p>
      <w:r>
        <w:t>Compte tenu des considérants exposés ci-dessus, il appert que, par sa décision du 7 juillet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