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C-50/2023 vom 17. November 2022</w:t>
      </w:r>
    </w:p>
    <w:p>
      <w:r>
        <w:t>Bundesverwaltungsgericht, 2022-11-17, DE</w:t>
      </w:r>
    </w:p>
    <w:p>
      <w:r>
        <w:rPr>
          <w:b/>
        </w:rPr>
        <w:t xml:space="preserve">Quelle: </w:t>
      </w:r>
      <w:r>
        <w:t>https://mcp.opencaselaw.ch/entscheid/bvger_C-50_2023_d20221117</w:t>
      </w:r>
    </w:p>
    <w:p>
      <w:r>
        <w:t>FR: TAF C-50/2023 du 17 novembre 2022</w:t>
      </w:r>
    </w:p>
    <w:p>
      <w:r>
        <w:t>IT: TAF C-50/2023 del 17 novembre 2022</w:t>
      </w:r>
    </w:p>
    <w:p>
      <w:pPr>
        <w:pStyle w:val="Heading2"/>
      </w:pPr>
      <w:r>
        <w:t>Regeste</w:t>
      </w:r>
    </w:p>
    <w:p>
      <w:r>
        <w:t>Verh&amp;uuml;tung Unf&amp;auml;lle und Berufskrankheiten | Unfallversicherung, Arbeitssicherheit und Gesundheitsschutz, Ermahnung Stufe 2 (Einspracheentscheid vom 17. November 2022)</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 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2 gemäss Art. 62 der Verordnung über die Verhütung von Unfällen und Berufskrankheiten vom 19. Dezember 1983 (VUV; SR 832.30) handelt es sich um eine Anordnung zur Unfallver- hütung, die gemäss Art. 109 Bst. c UVG im Beschwerdefall vom Bundes- 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2 gemäss Art. 62 VUV ausgesprochen, womit sie nach Feststellung eines</w:t>
      </w:r>
    </w:p>
    <w:p>
      <w:r>
        <w:t>C-50/2023 Seite 10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 de- nen die Ermahnung eine notwendige Voraussetzung für eine spätere Sank- tionierung in Form einer Prämienerhöhung ist; dann weist die Ermahnung die Strukturmerkmale einer Verfügung gemäss Art. 5 Abs. 1 VwVG auf und verschlechtert die Rechtslage des Betriebs (vgl. ROGER ANDRES, Arbeitssi- cherheit: Die Sanktionierung fehlbarer Arbeitgeber und Arbeitnehmer, in: HAVE 2017 S. 357 [nachfolgend: ANDRES, HAVE] u.a. m.H.a. BVGE 2010/37 E. 2.2 und 2.4.3; Urteil des BVGer C-5426/2015 vom</w:t>
      </w:r>
    </w:p>
    <w:p>
      <w:r>
        <w:rPr>
          <w:b/>
        </w:rPr>
        <w:t>E. 1.4</w:t>
      </w:r>
    </w:p>
    <w:p>
      <w:r>
        <w:t>Nachdem der Kostenvorschuss fristgerecht geleistet wurde, ist auf die frist- und formgerecht am 3. Januar 2023 eingereichte Beschwerde einzu- treten (Art. 38 Abs. 1 und 4 Bst. c ATSG; vgl. auch Art. 50 Abs. 1, 52 Abs. 1 und 63 Abs. 4 VwVG).</w:t>
      </w:r>
    </w:p>
    <w:p>
      <w:r>
        <w:rPr>
          <w:b/>
        </w:rPr>
        <w:t>E. 2</w:t>
      </w:r>
    </w:p>
    <w:p>
      <w:r>
        <w:t>Anfechtungsobjekt bildet der Einspracheentscheid der Vorinstanz vom 17. November 2022. Darin wies die Vorinstanz die Einsprache der Be- schwerdeführerin vom 12. August 2022 insbesondere mit der Begründung ab, diese sei ihren Pflichten nach Art. 82 UVG, Art. 5 Abs. 1, 6 Abs. 1 und</w:t>
      </w:r>
    </w:p>
    <w:p>
      <w:r>
        <w:rPr>
          <w:b/>
        </w:rPr>
        <w:t>E. 3</w:t>
      </w:r>
    </w:p>
    <w:p>
      <w:r>
        <w:t>sowie Art. 8 VUV, Art. 23 Abs. 1 lit. a, 29 Abs. 1 der Verordnung vom 18. Juni 2021 über die Sicherheit und den Gesundheitsschutz der Arbeit- nehmerinnen und Arbeitnehmer bei Bauarbeiten (Bauarbeitenverordnung [BauAV], SR 832.311.141) nur ungenügend nachgekommen.</w:t>
      </w:r>
    </w:p>
    <w:p>
      <w:r>
        <w:rPr>
          <w:b/>
        </w:rPr>
        <w:t>E. 3.1</w:t>
      </w:r>
    </w:p>
    <w:p>
      <w:r>
        <w:t>Das Bundesverwaltungsgericht prüft die Verletzung von Bundesrecht einschliesslich der Überschreitung oder des Missbrauchs des Ermessens,</w:t>
      </w:r>
    </w:p>
    <w:p>
      <w:r>
        <w:t>C-50/2023 Seite 11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w:t>
      </w:r>
    </w:p>
    <w:p>
      <w:r>
        <w:t>C-50/2023 Seite 12 sicherheitsrelevante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 faden, 6. Aufl. März 2020) gemacht hat. Die EKAS-Richtlinien stellen nicht unmittelbar verbindliches Recht dar, sondern sind konkretisierende Best- immungen, die den Arbeitgeber nicht verpflichten. Bei deren Beachtung verleihen sie ihm aber die Vermutung, dass er die Sicherheitsanforderun- gen nach UVG und VUV erfüllt (vgl. EKAS-Leitfaden Ziff. 2.3.3). Gleiches gilt auch für den EKAS-Leitfaden, der den Durchführungsorganen, die den Vollzug der gesetzlichen Vorschriften betreffend Arbeitssicherheit zu über- wachen und notfalls durchzusetzen haben, Anleitungen gibt in der Absicht, ein einheitliches und rechtsgleiches Vorgehen in der Praxis zu fördern (EKAS-Leitfaden Ziff. 1; vgl. auch Art. 52a Abs. 1 VUV).</w:t>
      </w:r>
    </w:p>
    <w:p>
      <w:r>
        <w:t>C-50/2023 Seite 13</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 Leitfadens spricht das Durchführungsorgan im ausserordentlichen Durch- 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 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 sichtigt werden (EKAS-Leitfaden Ziff. 5.2.10).</w:t>
      </w:r>
    </w:p>
    <w:p>
      <w:r>
        <w:t>C-50/2023 Seite 14</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Können Unfall- und Gesundheitsgefahren durch technische oder or- ganisatorische Massnahmen nicht oder nicht vollständig ausgeschlossen werden, so muss der Arbeitgeber den Arbeitnehmern zumutbare und wirk- 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Er muss dafür sorgen, dass diese jederzeit bestimmungsgemäss verwendet werden können (Art. 5 Abs. 1 VUV).</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Massnahmen der Arbeitssicherheit einhalten (Art. 6 Abs. 3 VUV).</w:t>
      </w:r>
    </w:p>
    <w:p>
      <w:r>
        <w:rPr>
          <w:b/>
        </w:rPr>
        <w:t>E. 4.2.4</w:t>
      </w:r>
    </w:p>
    <w:p>
      <w:r>
        <w:t>Gemäss Art. 8 VUV darf der Arbeitgeber Arbeiten mit besonderen Gefahren nur Arbeitnehmern übertragen, die dafür entsprechend ausgebil- det sind. Wird eine gefährliche Arbeit von einem Arbeitnehmer allein aus- geführt, so muss ihn der Arbeitgeber überwachen lassen (Abs. 1). Bei Ar- beiten mit besonderen Gefahren müssen die Zahl der Arbeitnehmer sowie die Anzahl oder die Menge der gefahrbringenden Einrichtungen, Arbeits- mittel und Stoffe auf das Nötige beschränkt sein (Abs. 2).</w:t>
      </w:r>
    </w:p>
    <w:p>
      <w:r>
        <w:t>C-50/2023 Seite 15</w:t>
      </w:r>
    </w:p>
    <w:p>
      <w:r>
        <w:rPr>
          <w:b/>
        </w:rPr>
        <w:t>E. 4.2.5</w:t>
      </w:r>
    </w:p>
    <w:p>
      <w:r>
        <w:t>Nach Art. 23 Abs. 1 lit. a BauAV ist bei ungeschützten Stellen mit ei- ner Absturzhöhe von mehr als 2m ein Seitenschutz zu verwenden.</w:t>
      </w:r>
    </w:p>
    <w:p>
      <w:r>
        <w:rPr>
          <w:b/>
        </w:rPr>
        <w:t>E. 4.2.6</w:t>
      </w:r>
    </w:p>
    <w:p>
      <w:r>
        <w:t>Wo das Anbringen eines Seitenschutzes nach Art. 22 BauAV, eines Fassadengerüstes nach Art. 26 BauAV oder eines Auffangnetzes oder Fanggerüstes nach Art. 27 BauAV technisch nicht möglich oder zu gefähr- lich ist, sind gleichwertige Schutzmassnahmen zu treffen (29 Abs. 1 BauAV).</w:t>
      </w:r>
    </w:p>
    <w:p>
      <w:r>
        <w:rPr>
          <w:b/>
        </w:rPr>
        <w:t>E. 5.1</w:t>
      </w:r>
    </w:p>
    <w:p>
      <w:r>
        <w:t>Die Vorinstanz hat in ihrer Ermahnung Stufe 2 vom 13. Juli 2022 fol- gende Feststellungen gemacht, die mit Einspracheentscheid vom 17. No- vember 2022 bestätigt wurden – wobei die Feststellung 3 für das Ausspre- chen der Ermahnung nicht ausschlaggebend gewesen sei: - Feststellung 1: Montage/Demontage von Gerüsten. Bei der Montage oder Demontage des Gerüsts werden bei Absturzhöhen von mehr als 2m keine Massnahmen gegen Absturz getroffen (Art. 23 und 29 BauAV). Die Persönliche Schutzausrüstung gegen Absturz (PSAgA) wird nicht regelkonform eingesetzt (Art. 29 BauAV, Art. 5 und 8 VUV). Der Vertikaltransport von Gerüstmaterial erfolgt nicht regelkonform (Art. 18 BauAV). - Feststellung 2: Rollgerüst. Das Rollgerüst ist nicht regelkonform und wird nicht nach den Angaben des Herstellers verwendet (Art. 65 BauAV, Art. 24 und 32a VUV). Der dreiteilige Seitenschutz am Rollge- rüst fehlt oder ist ungenügend (Art. 22 und 23 BauAV). Am Rollgerüst wird aussen hochgeklettert (Art. 56 Abs. 1 BauAV). - Feststellung 3: Obwohl die Bauarbeiten bereits begonnen haben, liegt kein schriftliches Sicherheits- und Gesundheitsschutzkonzept vor (Art. 4 BauAV).</w:t>
      </w:r>
    </w:p>
    <w:p>
      <w:r>
        <w:rPr>
          <w:b/>
        </w:rPr>
        <w:t>E. 5.2</w:t>
      </w:r>
    </w:p>
    <w:p>
      <w:r>
        <w:t>Zunächst ist zu prüfen, ob die Vorinstanz den rechtserheblichen Sach- verhalt vollständig und richtig festgestellt hat.</w:t>
      </w:r>
    </w:p>
    <w:p>
      <w:r>
        <w:rPr>
          <w:b/>
        </w:rPr>
        <w:t>E. 5.2.1</w:t>
      </w:r>
    </w:p>
    <w:p>
      <w:r>
        <w:t>Die Beschwerdeführerin hält hierzu in ihrer Beschwerde insbeson- dere fest, die Vorinstanz habe den Sachverhalt nicht richtig und nicht voll- ständig abgeklärt, indem sie rechtserhebliche Umstände ohne nähere Prü- fung und ohne konkrete Auseinandersetzung mit der Einsprache vom 12. August 2022 als entscheidrelevante Tatsachen angenommen habe.</w:t>
      </w:r>
    </w:p>
    <w:p>
      <w:r>
        <w:t>C-50/2023 Seite 16 Durch die Darstellung, die Arbeiten seien wieder aufgenommen worden, nachdem regelkonforme Absturzsicherungsmassnahmen getroffen wor- den und am gleichen Tag das mobile Gerüst durch ein breiteres mit Seiten- schutz und Geländer versehenes Gerüst ersetzt worden sei, impliziere, dass sie die Feststellungen 1 und 2 akzeptiert habe. In ihrer Rückmeldung habe die Beschwerdeführerin jedoch die Erhebung einer separaten Ein- sprache angekündigt und sie sei davon ausgegangen, dass sie sich im Rahmen des Einspracheverfahrens zur Sache materiell äussern könne. Insbesondere aus Kostengründen sei es nicht angezeigt gewesen, die Ar- beitseinstellungsverfügung vom 17. Juni 2022 anzufechten. Deshalb sei es objektiv begründet gewesen, die angeblichen Verfehlungen zu beheben, damit auf der Baustelle wieder gearbeitet werden konnte und die Verfeh- lung im nachfolgenden Einspracheverfahren zu bestreiten beziehungs- weise richtigzustellen. Zunächst sei festzustellen, dass sich in den Akten keine Anhaltspunkte fänden, wonach die Mitarbeiter der Beschwerdeführe- rin den Umstand, dass das verwendete Gerüst über keinen Innendurch- gang verfügt habe, bestätigt haben sollten. Diese Behauptung werde als unzutreffend bestritten und es fehle hierzu die tatbestandliche Grundlage. Aus den in den Akten befindlichen Fotos sei nicht ersichtlich, dass das ver- wendete Modulgerüst keinen Innendurchgang aufgewiesen habe. Entspre- chende Annahmen der Vorinstanz fänden in den Akten keine Basis und seien rechtswidrig erfolgt. Aus der statischen Berechnung vom 20. Dezem- ber 2022 des verwendeten Fahrgerüsts auf der Baustelle in R._______ er- gebe sich, dass das Gerüst nicht kippen könne, wenn an der Stirnseite hochgeklettert werde. Die Vorinstanz gehe überhaupt nicht auf die Sach- verhaltsdarstellung gemäss Einsprache vom 12. August 2022 ein, wo aus- drücklich festgehalten worden sei, dass auch bei Fehlen eines Seiten- schutzes gearbeitet werden dürfe, wenn ein Anseilschutz mit Höhensiche- rungsgerät eingesetzt werde. Ein solches Vorgehen sei nach Art. 29 Abst. 1 BauAV zulässig. Im ganzen Kontext sei die Feststellung der Vorinstanz falsch, wonach die Arbeiten Vertikaltransporte von Gerüstmate- rial beinhalteten. Die hier zur Diskussion stehenden Gerüstarbeiten hätten sich in Phase 1 befunden, wo es um die Montage der Abstellbasis für das Fassadengerüst gegangen sei. Die Abstellbasis bestehe aus der Schwer- lastkonsole, den gelben Holzträgern und dem Belagboden. Einzig diese Arbeiten seien vom Modulgerüst aus getätigt worden. Die Mitarbeiter seien am Rollgerüst respektive an den Schwerlastkonsolen gesichert gewesen und hätten den Belagboden für das Fassadengerüst von dort aus bauen können. Sie seien dazu nicht auf die gelben Holzträger gestanden. Das später erstellte Fassadengerüst sei in einer zweiten Etappe, Phase 2, auf die Plattform der Schwerlastkonsolen gestellt worden. Nach dem Gesagten</w:t>
      </w:r>
    </w:p>
    <w:p>
      <w:r>
        <w:t>C-50/2023 Seite 17 ergebe sich, dass die Vorinstanz den rechtsrelevanten Sachverhalt aus mehreren Gründen fehlerhaft und lückenhaft festgestellt habe, indem sie beim verwendeten Modulgerüst von einem fehlenden Innendurchstieg aus- gegangen sei, das verwendete Modulgerüst als kippbar bezeichnet habe, den fehlenden Seitenschutz nicht durch Sicherung an Horizontalriegeln beim verwendeten Modulgerüst als adäquat ersetzbar bezeichnet habe, im fraglichen Zeitpunkt Vertikaltransporte von Gerüstmaterial angenommen habe und fälschlicherweise angenommen habe, dass die Gerüstmonteure für die Montage des Belagbodens auf die gelben Holzträger gestanden seien.</w:t>
      </w:r>
    </w:p>
    <w:p>
      <w:r>
        <w:rPr>
          <w:b/>
        </w:rPr>
        <w:t>E. 5.2.2</w:t>
      </w:r>
    </w:p>
    <w:p>
      <w:r>
        <w:t>Dem hält die Vorinstanz in ihrer Vernehmlassung im Wesentlichen entgegen, sie habe den Sachverhalt richtig und umfassend abgeklärt und sich mit den Argumenten der Beschwerdeführerin auseinandergesetzt. An- lässlich der Baustellenkontrolle vom 15. Juni 2022 in R._______ habe ein SUVA-Mitarbeiter mit den anwesenden Personen und dem Baustellenleiter vor Ort und mit dem Bereichsleiter telefonisch gesprochen. Die anwesen- den Mitarbeiter hätten mitgeteilt, dass sie von aussen am Rollgerüst hoch- geklettert seien. Diese Aussagen vor Ort seien klar und eindeutig gewesen, weshalb die Vorinstanz entsprechende Feststellungen und Massnahmen festgehalten habe (Feststellung 2). Ein Innendurchstieg, eine oder meh- rere interne Treppe/n sowie Bodenbretter seien nicht vorhanden gewesen und auf den Abbildungen im Fotodossier zur Ermahnung Stufe 2 auch nicht sichtbar. Der Weg nach oben sei deshalb nur durch Hochklettern am Roll- gerüst möglich gewesen. Dass die Mitarbeitenden ihre am Kontrolltag ge- machten Aussagen nicht mehr bestätigen wollen, sei nachvollziehbar. Den Aussagen der ersten Stunde komme jedoch gemäss Rechtsprechung beim Beweisgrad der überwiegenden Wahrscheinlichkeit ein besonderes Ge- wicht zu. Daher sei den Aussagen anlässlich der Kontrolle vom 15. Juni 2022 mehr Gewicht zuzumessen, als der anlässlich der Kontrolle vom 15. Juni 2022 vorgebrachten gegenteiligen Behauptung, die als Schutzbe- hauptung zu betrachten sei. Weiter werde darauf hingewiesen, dass sich die Feststellung 1 auf die Arbeiten zur Montage beziehungsweise Demon- tage der Konsole und nicht auf das Rollgerüst oder (noch nicht vorhan- dene) Fassadengerüst beziehe. Bei diesen Arbeiten seien die Mitarbeiten- den einem Absturzrisiko ausgesetzt gewesen, weil sie insbesondere die Persönliche Schutzausrüstung gegen Absturz nicht regelkonform und dem Stand der Technik entsprechend verwendet hätten. Dies habe die Be- schwerdeführerin in ihrer Einsprache vom 12. August 2022 zugegeben. Zum unaufgefordert vorgebrachten Kippnachweis sei schliesslich festzu- halten, dass deren Anwendungsbereich gemäss zitierter Norm nicht für</w:t>
      </w:r>
    </w:p>
    <w:p>
      <w:r>
        <w:t>C-50/2023 Seite 18 Roll- beziehungsweise Fahrgerüste gelte. Weiter passten die Berechnun- gen auch nicht zur Aufbau- und Verwendungsanleitung sowie zum vor Ort verwendeten Gerüst. Gemäss Aufbau- und Verwendungsanleitung sei auch das Hochklettern an Gerüsten von aussen – ob an der Stirn- oder Längsseite – nicht erlaubt. Insofern könne die Beschwerdeführerin aus die- ser Berechnung nichts zu ihren Gunsten ableiten. Der Vollständigkeit hal- ber werde bestritten, dass das Rollgerüst nicht kippen könne, wenn an der Aussenseite hochgeklettert werde. Die Beschwerdeführerin verkenne, dass im angefochtenen Einspracheentscheid in Ziff. 5 ganz am Schluss festgehalten worden sei, dass sich die von der Beschwerdeführerin in ihrer Einsprache erwähnte Vereinbarung nicht auf Arbeiten in der Höhe beziehe und sie daraus folglich nichts zu ihren Gunsten ableiten könne. Sie gehe auch fehl in der Annahme, dass sie vorliegend nur gleichwertige Schutz- massnahmen nach Art. 29 BauAV zu treffen gehabt habe. Die Persönliche Schutzausrüstung dürfe nur eingesetzt werden, wenn ein Kollektivschutz technisch nicht möglich oder zu gefährlich sei. Vorliegend wäre die Mon- tage eines korrekten Kollektivschutzes technisch möglich und unter Be- rücksichtigung der Dauer der gesamten Arbeiten bis zu deren Fertigstel- lung und der Gefährdung der Mitarbeitenden bei der Montage weniger ge- fährlich gewesen als die Ausführung der Arbeiten ohne entsprechenden Kollektivschutz. Die Beschwerdeführerin hätte deshalb vor Aufnahme der Arbeiten an diesen ungeschützten Stellen mit einer Absturzhöhe von mehr als 2m einen regelkonformen Seitenschutz anbringen müssen. Die Mitar- beitenden hätten auch die Persönliche Schutzausrüstung nicht regelkon- form verwendet. Die Beschwerdeführerin habe in der Einsprache selbst ausgeführt, dass das eingesetzte Gerät aufgrund der geringen Absturz- höhe bei einem Sturz möglicherweise zu spät gebremst hätte. Solche gleichwertigen Schutzmassnahmen hätten – soweit überhaupt zulässig – nach Art. 29 Abs. 2 BauAV unter Beizug eines Spezialisten für Arbeitssi- cherheit schriftlich festgelegt werden müssen. Deren Planung oder schrift- liche Festlegung habe sie weder behauptet noch belegt. Insbesondere werde bestritten, dass die Montage der Holzträger und vor allem des Be- lagbodens aufgrund der Höhe des verwendeten Rollgerüsts und der zu bauenden Konstruktion von diesem Rollgerüst aus möglich gewesen sei. Die anwesenden Mitarbeitenden hätten mitgeteilt, dass sie zu diesem Zweck auf die Holzträger gestanden seien. Die Ausführungen der Be- schwerdeführerin seien als reine Schutzbehauptungen zu werten.</w:t>
      </w:r>
    </w:p>
    <w:p>
      <w:r>
        <w:rPr>
          <w:b/>
        </w:rPr>
        <w:t>E. 5.2.3</w:t>
      </w:r>
    </w:p>
    <w:p>
      <w:r>
        <w:t>In ihrer Replik ergänzte die Beschwerdeführerin, dass eine formlose Diskussion beziehungsweise Befragung von Mitarbeitenden der involvier- ten Partei kein taugliches Beweismittel darstelle, wenn darüber keinerlei</w:t>
      </w:r>
    </w:p>
    <w:p>
      <w:r>
        <w:t>C-50/2023 Seite 19 Aufzeichnungen beziehungsweise kein Protokoll erstellt werde. Dies sei keine rechtskonforme Tatsachenfeststellung. Die Vorinstanz sei den Be- weis schuldig geblieben, dass die Mitarbeitenden auf die Bedeutung der angeblichen Befragung hingewiesen worden und dass die angeblichen Aussagen oder Auskünfte protokolliert worden seien. Damit fehle die be- weisrechtliche Grundlage für den Erlass der angefochtenen Verfügung. Zur Nachholung dieser versäumten rechtsgenüglichen Beweisaufnahme werde hiermit der Beweisantrag auf Befragung oder Auskunftserteilung des Baustellenleiters und des Bereichsleiters gestellt. Aus der Einsprache vom 12. August 2022 ergebe sich keine vorbehaltlose Anerkennung der Vor- würfe gemäss Feststellung 1. Zudem ergebe sich ausdrücklich aus dem Protokoll der Sitzung vom 17. November 2021 (…) zu Traktandum 2, dass Verfehlungen zum laufenden Geländer oder Alternativen gemäss neuer BauAV nur festgestellt, aber nicht ermahnt und mit Bussen bestraft würden. Die Aussagen seien von zuständigen SUVA-Mitarbeitenden gemacht wor- den, weshalb sie als verbindliche Zusagen zu qualifizieren seien, auf die die Beschwerdeführerin vertrauen durfte. Dementsprechend handle die Vorinstanz treuwidrig. Die statische Berechnung des Kippnachweises de- cke das Fahrgerüst ab, wenn es nicht am Fahren sei. Selbstverständlich sei diese Norm gültig, da sie eine temporäre Konstruktion für Bauwerke abbilde und auch die gemäss SIA gültigen Sicherheitsfaktoren berücksich- tige. Weiter übersehe die Vorinstanz, dass man für ein modulares Gerüst- system keine Aufbauanleitung schreiben könne.</w:t>
      </w:r>
    </w:p>
    <w:p>
      <w:r>
        <w:rPr>
          <w:b/>
        </w:rPr>
        <w:t>E. 5.2.4</w:t>
      </w:r>
    </w:p>
    <w:p>
      <w:r>
        <w:t>Mit Duplik fügte die Vorinstanz an, das aufgebaute und verwendete Rollgerüst habe weder einem Rollgerüst oder Aufbau- und Verwendungs- anleitung des Allroundgerüsts von Layher entsprochen noch den Zeichnun- gen oder Skizzen der statischen Berechnung. Unter anderem sei im Fuss- bereich nicht das verlängerte Anfangsstück verwendet worden und an den Längsseiten hätten die horizontalen Riegel, der dreiteilige Seitenschutz ge- fehlt oder sei ungenügend gewesen und es sei kein Innendurchstieg vor- handen gewesen. Insbesondere werde auf die vergrösserten Ausdrucke und Ausschnitte der Abbildung 1 des Fotodossiers verwiesen. Daraus sei erkennbar, dass keine Durchstiegsböden montiert gewesen seien. Weiter sei der Zugang «ins Innere» des Rollgerüsts durch die Diagonalen und ho- rizontalen Riegel versperrt gewesen. Gemäss der Behauptung der Be- schwerdeführerin hätten sich ihre Mitarbeiter durch die dreieckigen und viereckigen Öffnungen zwischen den Diagonalen, horizontalen Riegeln und vertikalen Stielen durchzwängen müssen, um innen am Rollgerüst hochsteigen zu können – und dies mit Helm und Auffanggurt. An der Stirn- seite hätten sich – abgesehen vom Fussbereich – keine horizontalen</w:t>
      </w:r>
    </w:p>
    <w:p>
      <w:r>
        <w:t>C-50/2023 Seite 20 Riegel bis zum untersten Gerüstboden auf rund 2m Höhe befunden. Eine Etagenleiter sei nicht vorhanden gewesen. Die Mitarbeiter hätten auf den, an der Längsseite montierten, untersten horizontalen Riegel stehen und sich dann durch den angeblich vorhandenen Durchstieg auf rund 2m Höhe hochhieven müssen. Das montierte Rollgerüst sei weniger lang gewesen wie ein Durchstiegsboden gemäss Aufbau- und Verwendungsanleitung. Letztere sehe einen Innenaufstieg nur mit Leitern vor. Soweit die Be- schwerdeführerin ein eigenes Gerüst hergestellt habe, werde sie selbst zum Gerüsthersteller und somit zum Inverkehrbringer nach Produktesi- cherheitsgesetz (PrSG). Ein neu erstelltes Produkt müsse die grundlegen- den Sicherheits- und Gesundheitsanforderungen erfüllen. Das vorliegend verwendete Rollgerüst sei nicht regelkonform gewesen und sei nicht nach den Angaben des Herstellers verwendet und aufgebaut worden. Als neues Produkt habe es nicht die grundlegenden Sicherheits- und Gesundheitsan- forderungen erfüllt. Die Freifeld-Regel beziehe sich auf die Montage und Demontage eines Fassadengerüsts. Ein solches sei vorliegend – zum Zeitpunkt der Kontrolle – noch nicht erstellt gewesen, sondern eine Kon- sole. Die erwähnte Absprache betreffend «vorlaufendes Geländer bezie- hungsweise den Alternativen» sei auf die vorliegende Situation nicht an- wendbar. Auch ein modulares Gerüstsystem könne in der Schweiz nicht ohne entsprechende Gebrauchs- und Bedienungsanleitung in Verkehr ge- bracht werden. Bei der Sachverhaltsermittlung sei der Verhältnismässig- keitsgrundsatz zu beachten. Der Sachverhalt sei anhand der vor Ort vor- liegenden Tatsachen ermittelt, mit Fotos dokumentiert, mit Hilfe der Aussa- gen der anwesenden Mitarbeitenden der Beschwerdeführerin bestätigt so- wie telefonisch mit dem Bereichsleiter besprochen worden. Die Beschwer- deführerin habe selbst anerkannt, dass die Persönliche Schutzausrüstung nicht korrekt verwendet worden sei, was gemäss Kapitel 4.3 des EKAS Leitfadens als unmittelbare, schwere Gefährdung von Leben und Gesund- heit der Mitarbeitenden gelte und zum Aussprechen einer Ermahnung führe. Auch hätten die Mitarbeitenden vor Ort bestätigt, am Rollgerüst aus- sen hochgeklettert und auf die Holzträger gestanden zu sein. Der Beweis- antrag auf Befragung oder Auskunftserteilung sei abzulehnen. Die entspre- chenden Aussagen wären als reine Parteibehauptungen zu betrachten.</w:t>
      </w:r>
    </w:p>
    <w:p>
      <w:r>
        <w:rPr>
          <w:b/>
        </w:rPr>
        <w:t>E. 5.3.1</w:t>
      </w:r>
    </w:p>
    <w:p>
      <w:r>
        <w:t>Hinsichtlich der Feststellung 1 ergibt sich zur Sachverhaltsermittlung der Vorinstanz Folgendes: Bei der Montage der Abstellbasis – für das spä- ter darauf zu errichtende Fassadengerüst – und bei einer Absturzhöhe von mehr als 2m wurden keine baulichen Massnahmen gegen Absturz</w:t>
      </w:r>
    </w:p>
    <w:p>
      <w:r>
        <w:t>C-50/2023 Seite 21 getroffen. Die von der Vorinstanz fotografisch dokumentierte Situation vor Ort zeigt, dass bei der Arbeit am Belagboden (den obersten Teil der in Kon- struktion befindlichen Abstellbasis, welche an der Aussenfassade des Ge- bäudes auf Höhe der ersten Etage mittels horizontalen Eisenträgern, ab- gestützt mit Eisenstangen in den oberen Teil der Erdgeschossfassade und jeweils fixiert mit Schrauben ins Mauerwerk verankert wird) kein Seiten- schutz vorhanden war (vgl. BVGer-act. 20 Ziff. 3.1). Aus dem von der Be- schwerdeführerin mit ihrer Replik ins Recht gelegten Protokoll vom 17. No- vember 2021 (…) ist ersichtlich, dass die zeitliche Umsetzung der Bestim- mungen zum vorlaufenden Geländer und deren Alternativen zwischen Suva-Vertretern und dem Schweizerischen Gerüstbau-Unternehmer- Verband im Vorfeld zum Inkrafttreten der neuen Bauarbeiterverordnung per 1. Januar 2022 im Vorfeld diskutiert worden waren. In diesem Zusammen- hang bestand die schriftlich festgehaltene Zusicherung seitens der SUVA, dass zwar kein Aufschub erfolge, aber im ersten Jahr bei den Kontrollen lediglich Bestätigungen ausgesprochen würden. Aus den Akten geht nicht hervor, ob und inwiefern sich die erwähnte Vereinbarung auf Arbeiten in der Höhe bezieht und ob ein Anseilschutz mit Höhensicherungsgeräten als Alternative von dieser Zusicherung erfasst werden. In sachverhaltlicher Hinsicht und auch mit Blick auf die Prüfung einer allfälligen Vertrauens- schutzgrundlage kann die Klärung dieser Fragen offenbleiben: Zum einen hat die Beschwerdeführerin bereits in ihrer Einsprache anerkannt, dass das eingesetzte Höhensicherungsgerät aufgrund der geringen Absturzhöhe bei einem Sturz möglicherweise zu spät gebremst hätte (vgl. Einsprache S. 4; Suva-act. 911). Insofern handelte es sich aktenkundigerweise nicht um ei- nen gleichwertigen Schutz, wie ihn ein Seitenschutz geboten hätte. Zum anderen ist aufgrund der Akten ohnehin nicht erstellt, dass im vorliegenden Fall durch den Einsatz eines Höhensicherungsgeräts sowie durch die Sturzsicherung an Horizonalriegeln des verwendeten Gerüsts gleichwer- tige Schutzmassnahmen nach Art. 29 Abs. 2 BauAV unter Beizug eines Spezialisten für Arbeitssicherheit schriftlich festgelegt worden wären. Die Beschwerdeführerin hat auch auf entsprechenden Vorhalt der Vorinstanz hin (vgl. Vernehmlassung S. 6; BVGer-act. 12) weder behauptet noch schriftlich belegt, dass hierfür ein Spezialist für Arbeitssicherheit beigezo- gen wurde. In Bezug auf den Vertikaltransport behauptet die Beschwerde- führerin, dass am besagten Tag kein solcher Transport von Gerüstmaterial stattgefunden habe (vgl. Einsprache S. 4; Suva-act. 911 und Beschwerde S. 8; BVGer-act. 1). Wie die Vorinstanz mittels Fotodokumentation festge- halten hat, sind oberhalb der Konsole keine Anschlagpunkte für eine Si- cherung vorhanden (vgl. dazu auch BVGer-act. 20 Beilage 2 S. 7). Daher war eine regelkonforme Umsetzung der Persönlichen Schutzausrüstung</w:t>
      </w:r>
    </w:p>
    <w:p>
      <w:r>
        <w:t>C-50/2023 Seite 22 gar nicht möglich, zumal das Sicherungsseil bei kurzer Seillänge immer wieder ungesichert um- und eingehängt werden oder bei längerer Seil- länge die Gefahr eines Pendelsturzes in Kauf genommen werden musste. Ausserdem ist aus der Fotodokumentation der Vorinstanz ersichtlich, dass einer der gelben Holzträger bereits vertikal am Rollgerüst steht – was mit überwiegender Wahrscheinlichkeit auf einen Vertikaltransport hindeutet – und dass zwei gelbe Holzträger vor dem Rollgerüst beziehungsweise Bal- kon als Bodenbelag befestigt wurden, so dass bei einer Weiterarbeit gegen innen nur eine Fertigstellung von oben (das heisst mit Stand auf den gelben Holzträgern) möglich gewesen wäre. Im Übrigen ist auch aus dem von der Beschwerdeführerin eingereichten Foto ersichtlich, dass das Rollgerüst die notwendige Höhe für die Montage der Holzträger und des Belagbodens vom Rollgerüst aus nicht erreichte (vgl. BVGer-act. 1 Beilage 12).</w:t>
      </w:r>
    </w:p>
    <w:p>
      <w:r>
        <w:rPr>
          <w:b/>
        </w:rPr>
        <w:t>E. 5.3.2</w:t>
      </w:r>
    </w:p>
    <w:p>
      <w:r>
        <w:t>Hinsichtlich der Feststellung 2 ist zunächst aufgrund der Fotodoku- mentation der Vorinstanz beweisrechtlich erstellt, dass es sich beim von der Beschwerdeführerin verwendeten Gerüst nicht um ein regelkonformes, gemäss Herstellerangaben gebautes Rollgerüst, sondern um ein Gerüst aus eigener Konstruktion handelte. Zwar geht aus der Fotodokumentation der Vorinstanz hervor, dass das Rollgerüst bei der Kontrolle am 15. Juni 2022 direkt unter einem Balkon stand (vgl. BVGer-act. 20 Ziff. 3.1 und 3.2). Das von der Beschwerdeführerin eingereichte Bild zeigt jedoch klar, dass der dreiteilige Seitenschutz am Rollgerüst ungenügend war, zumal insbe- sondere an den Längsseiten keine Bordbretter vorhanden waren (vgl. BVGer-act. 1 Beilage 12). Lediglich ein Verstoss gegen Art. 56 Abs. 1 BauAV ist vorliegend beweisrechtlich nicht im von der Vorinstanz gerügten Umfang erstellt, so dass mit der hier erforderlichen überwiegenden Wahr- scheinlichkeit von einem Hochklettern am Rollgerüst von aussen ausge- gangen werden könnte: Es trifft zu, dass bezüglich der Aussagen der Mit- arbeitenden vor Ort keine echtzeitlich dokumentierten Aussagen der ersten Stunde vorliegen. Die Vorinstanz hat keine Akten- und/oder Telefonnotizen erstellt, die die Feststellungen zeitnah dokumentieren, dass das Rollgerüst über keinen Innendurchstieg verfügt habe und die Mitarbeitenden von aus- sen hochgeklettert seien. Für den Beweis von Sicherheitsmängeln in Be- zug auf einen Aussenaufstieg können somit allfällige Aussagen von Mitar- beitenden nicht herangezogen werden. Auch aus der Fotodokumentation – selbst aus den nachträglich eingereichten vergrösserten Ausschnitten der Vorinstanz – ergibt sich hierzu keine hinreichend klare Aktenlage: Da Bilder von der anderen Seite der Gerüstkonstruktion fehlen, ist nicht er- kennbar, ob für den Innendurchstieg Deckel vorhanden sind. Insofern ge- hen diese Annahmen der Vorinstanz nicht über Behauptungen hinaus. Zu</w:t>
      </w:r>
    </w:p>
    <w:p>
      <w:r>
        <w:t>C-50/2023 Seite 23 beanstanden ist einzig, dass zwar im von der Beschwerdeführerin einge- reichten Kippnachweis eine Etagenleiter vorgesehen war (vgl. BVGer- act. 1 Beilage 10 S. 2-4), aber weder zum Zeitpunkt der Kontrolle vom 15. Juni 2022 noch im von der Beschwerdeführerin eingereichten Foto des Bauobjekts (vgl. BVGer-act. 1 Beilage 12) vorhanden war. Insofern fehlt im untersten Teil des Rollgerüsts eine regelkonforme Aufstiegsmöglichkeit von innen. Ob der Innenaufstieg anderweitig von innen durchgeführt wurde, lässt sich aufgrund der vorliegenden Akten nicht feststellen. Damit ist in Bezug auf einen allfälligen Aussenaufstieg der Mitarbeitenden von einer Beweislosigkeit auszugehen. Für den rechtserheblichen Sachverhalt irre- levant ist sodann der von der Beschwerdeführerin eingereichte Kippnach- weis, da ein Aussenaufstieg ohnehin keiner vorschriftsgemässen Nutzung des Gerüsts entspräche und die Beschwerdeführerin behauptet, ihre Mit- arbeitenden hätten einen Innenaufstieg genutzt.</w:t>
      </w:r>
    </w:p>
    <w:p>
      <w:r>
        <w:rPr>
          <w:b/>
        </w:rPr>
        <w:t>E. 5.3.3</w:t>
      </w:r>
    </w:p>
    <w:p>
      <w:r>
        <w:t>Damit ist der rechtserhebliche Sachverhalt mit überwiegender Wahr- scheinlichkeit erstellt. Aus den zum Beweis offerierten Befragungen oder Auskunftserteilungen des Baustellen- und Bereichsleiters sind zum Sach- verhalt keine weiteren Erkenntnisse zu erwarten, da sie als Mitarbeitende der Beschwerdeführerin lediglich nachträgliche Parteiauskünfte über einen vorübergehenden und während verhältnismässig kurzer Zeit bestehenden, sicherheitswidrigen Zustand erteilen können. Auf diese Beweisofferten ist somit in antizipierter Beweiswürdigung zu verzichten (vgl. BGE 146 V 240 E. 8.2; 136 I 229 E. 5.3). Mit dem erforderlichen Beweismass steht vorlie- gend fest, dass bei der Montage der Abstellbasis (Eisenträger-/Holz- konstruktion im Bereich der Aussenfassade des ersten Stockwerks mit Ab- stützung durch Eisenstangen ins Mauerwerk des oberen Teils des Erdge- schosses) für das später darauf zu errichtende Fassadengerüst, bei Ab- sturzhöhen von mehr als 2m keine Massnahmen gegen Absturz getroffen wurden (Art. 23 und 29 BauAV), die Persönliche Schutzausrüstung gegen Absturz nicht regelkonform eingesetzt wurde (Art. 29 BauAV, Art. 5 und 8 VUV) und der Vertikaltransport von Gerüstmaterial nicht regelkonform er- folgt ist (Art. 18 BauAV). Zudem war das Rollgerüst nicht regelkonform und wurde nicht nach den Angaben des Herstellers verwendet (Art. 65 BauAV, Art. 24 und 32a VUV) und der dreiteilige Seitenschutz am Rollgerüst fehlte oder war ungenügend (Art. 22 und 23 BauAV). Die Feststellung, dass am Rollgerüst aussen hochgeklettert wurde (Art. 56 Abs. 1 BauAV), konnte hingegen beweisrechtlich nicht mit überwiegender Wahrscheinlichkeit er- stellt werden.</w:t>
      </w:r>
    </w:p>
    <w:p>
      <w:r>
        <w:t>C-50/2023 Seite 24</w:t>
      </w:r>
    </w:p>
    <w:p>
      <w:r>
        <w:rPr>
          <w:b/>
        </w:rPr>
        <w:t>E. 6.1</w:t>
      </w:r>
    </w:p>
    <w:p>
      <w:r>
        <w:t>Zu prüfen ist weiter, ob die Vorinstanz zu Recht eine Ermahnung Stufe 2 ausgesprochen hat.</w:t>
      </w:r>
    </w:p>
    <w:p>
      <w:r>
        <w:rPr>
          <w:b/>
        </w:rPr>
        <w:t>E. 6.2</w:t>
      </w:r>
    </w:p>
    <w:p>
      <w:r>
        <w:t>Die oben festgestellten Verstösse gegen Arbeitssicherheitsvorschriften (vgl. oben E. 5.3.3) sind unbestrittenermassen der Beschwerdeführerin als Arbeitgeberin zuzurechnen. Zwar konnte in beweisrechtlicher Hinsicht nicht erstellt werden, dass die Mitarbeitenden am Rollgerüst aussen hoch- geklettert seien (Art. 56 Abs. 1 BauAV). Dennoch hat die Vorinstanz – insbesondere aufgrund der beiden für sich genommen als unmittelbare, schwere Gefährdung von Leib und Gesundheit geltenden Verstösse (das Arbeiten in unmittelbarer Nähe von Absturzkanten [vgl. Feststellungen 1 und 2]) – grundsätzlich zu Recht eine Ermahnung nach Art. 62 VUV aus- gesprochen.</w:t>
      </w:r>
    </w:p>
    <w:p>
      <w:r>
        <w:rPr>
          <w:b/>
        </w:rPr>
        <w:t>E. 6.3</w:t>
      </w:r>
    </w:p>
    <w:p>
      <w:r>
        <w:t>Die Vorinstanz hatte die Beschwerdeführerin bereits am 13. Februar 2020 auf Stufe 3 ermahnt (vgl. Suva-act. 777) Die Beschwerdeführerin bringt nichts gegen die Zuordnung der vorliegenden Ermahnung auf Stufe 2 vor und auch aufgrund der Akten ergeben sich keine Hinweise da- rauf, dass dabei vor allem der Grundsatz der Verhältnismässigkeit nicht eingehalten worden wäre.</w:t>
      </w:r>
    </w:p>
    <w:p>
      <w:r>
        <w:rPr>
          <w:b/>
        </w:rPr>
        <w:t>E. 6.4</w:t>
      </w:r>
    </w:p>
    <w:p>
      <w:r>
        <w:t>Nach dem Gesagten ist festzuhalten, dass die Vorinstanz zu Recht eine Ermahnung Stufe 2 ausgesprochen hat.</w:t>
      </w:r>
    </w:p>
    <w:p>
      <w:r>
        <w:rPr>
          <w:b/>
        </w:rPr>
        <w:t>E. 6.5</w:t>
      </w:r>
    </w:p>
    <w:p>
      <w:r>
        <w:t>Nach dem Gesagten ist festzuhalten, dass die Verstösse gegen Art. 23 und 29 BauAV, Art. 5 und 8 VUV, Art. 18 BauAV, Art. 65 BauAV, Art. 24 und 32a VUV, Art. 22 und 23 BauAV aufgrund der vorliegenden, vollständigen Akten erstellt sind.</w:t>
      </w:r>
    </w:p>
    <w:p>
      <w:r>
        <w:rPr>
          <w:b/>
        </w:rPr>
        <w:t>E. 7</w:t>
      </w:r>
    </w:p>
    <w:p>
      <w:r>
        <w:t>Zu befinden bleibt über die Verfahrenskosten und eine allfällige Parteient- schädigung.</w:t>
      </w:r>
    </w:p>
    <w:p>
      <w:r>
        <w:rPr>
          <w:b/>
        </w:rPr>
        <w:t>E. 7.1</w:t>
      </w:r>
    </w:p>
    <w:p>
      <w:r>
        <w:t>Gemäss Art. 63 Abs. 2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w:t>
      </w:r>
    </w:p>
    <w:p>
      <w:r>
        <w:t>C-50/2023 Seite 25 SR 173.320.2]). Die Kosten des Gesuchs um Wiederherstellung der auf- schiebenden Wirkung wurden mit Zwischenverfügung vom 24. Januar 2023 zur Hauptsache geschlagen. Die Verfahrenskosten sind vorliegend auf Fr. 3'000.– festzulegen und dem geleisteten Verfahrenskostenvor- schuss in gleicher Höhe zu entnehmen.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C-50/2023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