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C-5099/2008 vom 9. Februar 2011</w:t>
      </w:r>
    </w:p>
    <w:p>
      <w:r>
        <w:t>Bundesverwaltungsgericht, 2011-02-09, IT</w:t>
      </w:r>
    </w:p>
    <w:p>
      <w:r>
        <w:rPr>
          <w:b/>
        </w:rPr>
        <w:t xml:space="preserve">Quelle: </w:t>
      </w:r>
      <w:r>
        <w:t>https://mcp.opencaselaw.ch/entscheid/bvger_C-5099_2008</w:t>
      </w:r>
    </w:p>
    <w:p>
      <w:r>
        <w:t>FR: TAF C-5099/2008 du 9 février 2011</w:t>
      </w:r>
    </w:p>
    <w:p>
      <w:r>
        <w:t>IT: TAF C-5099/2008 del 9 febbraio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relativo alle presunte spese processuali di Fr. 300.- (anticipo effettivo Fr. 441.-),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130 V 64 e 71). In tal caso applicherà, per analogia, le disposizioni sulla revisione di rendite in corso (art. 17 cpv. 1 LPGA, art. 87 OAI). Nella specie dunque, l'amministrazione ha emanato una prima decisione (su opposizione) di reiezione della domanda di rendita il 17 gennaio 2006; l'assicurato ha poi presentato una nuova domanda di prestazioni il 3 luglio 2007 che è stata respinta con decisione del 17 luglio 2008, qui impugnata. Ne consegue che il periodo di riferimento per giudicare se è intervenuta una modifica rilevante del grado d'invalidità, può essere limitato dal 17 gennaio 2006 al 17 luglio 2008.</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Dopo il rimpatrio, l'interessato ha lavorato fino al settembre 2003 come muratore. Si è poi ritirato dal lavoro per motivi che egli ascrive alle sue precarie condizioni di salute (doc. 63).</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in sede d'istruttoria, è stata sostanzialmente evidenziata la diagnosi di mielopatia spondilosica cervicale in soggetto con pregressa artrodesi C4-C5 ed erniectomia a rilevante impegno funzionale cervicale, diabete mellito non insulinodipendente, epatopatia cronica HBV correlata, ipertensione arteriosa trattata (cfr. perizia medica particolareggiata E 213 del 1° ottobre 2007, doc. 77). La documentazione medica esibita in sede ricorsuale non ha posto in luce ulteriori patologie, se non una leggera disventilopatia polmonare.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servizio medico dell'INPS (perizia particolareggiata E 213 del 1° ottobre 2007, doc. 77) pone un grado d'invalidità dell'80% pur precisando che lo stato di salute dell'assicurato è rimasto stazionario rispetto alla precedente visita. Dal canto suo, la Dott.ssa Schoch-Zysset, medico dell'UAIE, non ha negato che all'interessato non sarebbero più proponibili attività pesanti o medio-pesanti, ma a lui resterebbero accessibili lavori leggeri, semisedentari in misura completa.</w:t>
      </w:r>
    </w:p>
    <w:p>
      <w:r>
        <w:rPr>
          <w:b/>
        </w:rPr>
        <w:t>E. 10.2</w:t>
      </w:r>
    </w:p>
    <w:p>
      <w:r>
        <w:t>La Dott.ssa Schoch-Zysset si è discostata dalla valutazione del servizio medico dell'INPS senza fondarsi su una documentazione completa. Nel suo rapporto del 7 aprile 2008, il medico dell'UAIE ammette che manca un esame neurologico dettagliato e nei rapporti successivi del 10 luglio e 20 novembre 2010 riferisce che la documentazione prodotta rispettivamente in sede di audizione e di ricorso è qualitativamente insufficiente. Ora, nel caso in esame una perizia neurologica/ortopedica completa di recente esecuzione è indispensabile per la valutazione della capacità di lavoro residua dell'interessato. La mielopatia spondilosica sembra infatti assumere caratteri di gravità e limitazioni plurisettoriali non indifferenti. Già i semplici rapporti di esame ortopedico e referti TAC (doc. 73, 76) mostrano un quadro patologico avanzato. Si annota che i movimenti sono limitati su tutti i piani per oltre 2/3, il rachide è riferito spinalgico e sussistono parestesie, deficit di forza a tutti gli arti. L'esame ortopedico considera rilevante l'impegno funzionale delle conseguenze dell'artrodesi C4-C5. La necessità di un approfondimento neurologico e di una consulenza neurochirurgica era già stata espressa anche a conclusione del rapporto RM cervicale del 15 maggio 2007 (doc. 71). Si deve inoltre osservare che il valore probatorio dei rapporti della Dott.ssa Schoch-Zysset è affievolito per il motivo che questo medico non dispone di una specializzazione in neurologia/ortopedia ma in medicina interna e nefrologia (sulle qualifiche specialistiche di cui devono disporre i medici dei servizi dell'UAIE, vedi SVR 2009 IV n. 56 consid. 4.3.1. con i rif.). Ora, fatte queste considerazioni, il collegio giudicante si trova nell'impossibilità di determinare la misura dell'eventuale incapacità di lavoro e di guadagno subita dall'interessato e da quando questa invalidità esisterebbe.</w:t>
      </w:r>
    </w:p>
    <w:p>
      <w:r>
        <w:rPr>
          <w:b/>
        </w:rPr>
        <w:t>E. 11.1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per il periodo dal 21 luglio 2005 (data della prima decisione cresciuta in giudicato) fino alla data dell'impugnata decisione (17 luglio 2008). L'UAIE emanerà poi un nuovo provvedimento impugnabile. A tale fine il ricorrente dovrà essere sottoposto ad una perizia approfondita in neurologia, accompagnata da tutti quegli esami clinici/strumentali che il caso richiede, ad una nuova indagine ortopedica approfondita e ad una perizia medica particolareggiata aggiornata (E 213), accompagnata anch'essa dagli esami essenziali a seconda delle patologie riscontrate. L'incarto sarà poi inviato in esame al servizio medico dell'UAIE il quale si pronuncerà in merito all'evoluzione dell'incapacità al lavoro fra il luglio 2005 ed il 17 luglio 2008, data della decisione impugnata, nonché in merito all'attività professionale che il ricorrente avrebbe potuto espletare nel periodo suddetto. Se del caso, l'Autorità amministrativa effettuerà poi un'adeguata e circostanziata indagine comparativa dei redditi.</w:t>
      </w:r>
    </w:p>
    <w:p>
      <w:r>
        <w:rPr>
          <w:b/>
        </w:rPr>
        <w:t>E. 12.1</w:t>
      </w:r>
    </w:p>
    <w:p>
      <w:r>
        <w:t>Visto l'esito del ricorso, non vengono prelevate spese processuali e la domanda di esenzione da tali spese diventa priva di oggetto. L'anticipo per le spese processuali di Fr. 441.- è restituito al ricorrente.</w:t>
      </w:r>
    </w:p>
    <w:p>
      <w:r>
        <w:rPr>
          <w:b/>
        </w:rPr>
        <w:t>E. 12.2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1'000.-,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