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C-5098/2007 vom 6. Januar 2010</w:t>
      </w:r>
    </w:p>
    <w:p>
      <w:r>
        <w:t>Bundesverwaltungsgericht, 2010-01-06, FR</w:t>
      </w:r>
    </w:p>
    <w:p>
      <w:r>
        <w:rPr>
          <w:b/>
        </w:rPr>
        <w:t xml:space="preserve">Quelle: </w:t>
      </w:r>
      <w:r>
        <w:t>https://mcp.opencaselaw.ch/entscheid/bvger_C-5098_2007</w:t>
      </w:r>
    </w:p>
    <w:p>
      <w:r>
        <w:t>FR: TAF C-5098/2007 du 6 janvier 2010</w:t>
      </w:r>
    </w:p>
    <w:p>
      <w:r>
        <w:t>IT: TAF C-5098/2007 del 6 gennaio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2ème éd., Zurich 1998 n. 677).</w:t>
      </w:r>
    </w:p>
    <w:p>
      <w:r>
        <w:rPr>
          <w:b/>
        </w:rPr>
        <w:t>E. 3.1</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3.2</w:t>
      </w:r>
    </w:p>
    <w:p>
      <w:r>
        <w:t>L'examen du droit à des prestations selon la LAI est régi par la teneur de la LAI au moment de la décision sur opposition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articles de loi cités ci-après sont ceux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w:t>
      </w:r>
    </w:p>
    <w:p>
      <w:r>
        <w:rPr>
          <w:b/>
        </w:rPr>
        <w:t>E. 4.3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5.1</w:t>
      </w:r>
    </w:p>
    <w:p>
      <w:r>
        <w:t>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En vertu de l'art. 28 al. 2bis LAI, en dérogation à l'art. 16 LPGA, l'invalidité des assurés qui n'exercent pas d'activité lucrative est évaluée en fonction de l'incapacité d'accomplir leurs travaux habituels. L'invalidité dans ces travaux doit être évaluée par comparaison des activités (art. 27 RAI ; méthode spécifique) et est déterminée, en règle générale, au moyen d'une enquête économique sur place (VSI 2001 p. 158 consid. 3c). L'incapacité de travail correspondra alors à la diminution - attestée médicalement - du rendement fonctionnel dans l'accomplissement des travaux habituels.</w:t>
      </w:r>
    </w:p>
    <w:p>
      <w:r>
        <w:rPr>
          <w:b/>
        </w:rPr>
        <w:t>E. 5.2</w:t>
      </w:r>
    </w:p>
    <w:p>
      <w:r>
        <w:t>Le choix de la méthode d'évaluation de l'invalidité (méthode générale de la comparaison des revenus, méthode mixte, méthode spécifique) dépendra du statut de l'assuré qui soit exerce une activité lucrative à temps complet, soit exerce une activité lucrative à temps partiel, soit n'a aucune activité. Le classement de l'assuré dans l'un ou l'autre de ces statuts dépendra de ce qu'il aurait fait s'il n'y avait pas eu une atteinte à la santé ceteris paribus sic stantibus. Pour ce faire, il convient de prendre en considération l'évolution de la situation jusqu'au prononcé de la décision entreprise, en admettant la reprise hypothétique d'une activité lucrative partielle ou complète, si cette éventualité présente un degré de vraisemblance prépondérante (ATF, 129 V 150 consid 2.1 et les références citées).</w:t>
      </w:r>
    </w:p>
    <w:p>
      <w:r>
        <w:rPr>
          <w:b/>
        </w:rPr>
        <w:t>E. 5.3</w:t>
      </w:r>
    </w:p>
    <w:p>
      <w:r>
        <w:t>Lorsque l'assuré ne doit pas être considéré comme une personne exerçant une activité à temps plein, il convient encore de déterminer la part consacrée aux travaux habituels dans le ménage par rapport à celle de l'activité lucrative (méthode mixte). La part de l'activité lucrative est, dans ce cas, déterminée en comparant en percentile l'horaire usuel dans la profession en question à l'horaire effectivement accompli; la part des travaux habituels constitue le reste du pourcentage. L'invalidité est déterminée, d'une part, par comparaison des activités selon l'art. 27 RAI (travaux habituels) et, d'autre part, par comparaison des revenus selon l'art. 28 al. 2 LAI (activité lucrative), l'invalidité globale étant déterminée pro rata temporis de chacune des parts.</w:t>
      </w:r>
    </w:p>
    <w:p>
      <w:r>
        <w:rPr>
          <w:b/>
        </w:rPr>
        <w:t>E. 6</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8</w:t>
      </w:r>
    </w:p>
    <w:p>
      <w:r>
        <w:t>En l'espèce, le litige porte sur la suppression d'une rente d'invalidité par la voie de la révision.</w:t>
      </w:r>
    </w:p>
    <w:p>
      <w:r>
        <w:rPr>
          <w:b/>
        </w:rPr>
        <w:t>E. 8.1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8.2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8.3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8.4</w:t>
      </w:r>
    </w:p>
    <w:p>
      <w:r>
        <w:t>Pour examiner si, dans un cas de révision, il y a eu une modification importante du degré d'invalidité au sens de l'art. 17 LPGA, le juge doit prendre généralement en considération l'influence de l'état de santé sur la capacité de gain au moment où a été rendue la décision qui a octroyé ou modifié le droit à la rente, ainsi que l'état de fait existant au moment de la décision attaquée. En matière de révision d'office toutefois, c'est la dernière décision entrée en force, examinant matériellement le droit à la rente, fondée sur une instruction des faits, une appréciation des preuves et une comparaison des revenus conforme au droit qui constitue le point de départ pour examiner si le degré de l'invalidité s'est modifié de manière à influencer le droit aux prestations (ATF 133 V 108 consid. 5.4; ATF 109 V 262, consid. 4a).</w:t>
      </w:r>
    </w:p>
    <w:p>
      <w:r>
        <w:rPr>
          <w:b/>
        </w:rPr>
        <w:t>E. 8.5</w:t>
      </w:r>
    </w:p>
    <w:p>
      <w:r>
        <w:t>En l'occurrence, la recourante a été mise au bénéfice d'une rente entière d'invalidité du 1er novembre 2001 au 31 décembre 2003 et de trois quarts de rente à partir du 1er janvier 2004 par deux décisions de l'OAI BL datées du 24 mars 2004 (dossier AI p. 92-99; cf. supra consid. B). Par conséquent, la question de savoir si le degré d'invalidité a subi une modification doit être jugée en comparant les faits tels qu'ils se présentaient à l'époque de l'octroi de la rente par décisions datées du 24 mars 2004 et ceux qui ont existé jusqu'au 4 juillet 2007, date de l'acte litigieux.</w:t>
      </w:r>
    </w:p>
    <w:p>
      <w:r>
        <w:rPr>
          <w:b/>
        </w:rPr>
        <w:t>E. 9.1</w:t>
      </w:r>
    </w:p>
    <w:p>
      <w:r>
        <w:t>Dans la présente affaire, l'administration a initialement retenu que l'assurée présentait un taux d'invalidité de 30% dans l'exercice d'une activité de substitution légère en se fondant essentiellement sur l'expertise orthopédique du 10 avril 2002 réalisée par les Drs E._______, F._______ et G._______ à l'Hôpital I._______ (dossier AI p. 117-128). Les experts précités ont attesté que la recourante souffrait de deux affections indépendantes l'une de l'autre ayant des répercussions sur sa capacité de travail, à savoir une arthrose fémoro-patellaire post-traumatique à gauche ainsi qu'une hernie discale foraminale en L5/S1 à gauche avec résidus neurologiques et ont conclu que, dans la constellation observée au moment de leur examen, avec des douleurs chroniques au genou et une radiculopathie en L5, l'assurée disposait d'une capacité de travail de 30% en tenant compte de certaines limitations fonctionnelles (dossier AI p. 127; cf. supra let. B). Ils ont toutefois précisé qu'il était encore trop tôt pour se prononcer définitivement sur ce point, étant donné que le traitement de la hernie discale était encore en cours.</w:t>
      </w:r>
    </w:p>
    <w:p>
      <w:r>
        <w:rPr>
          <w:b/>
        </w:rPr>
        <w:t>E. 9.2</w:t>
      </w:r>
    </w:p>
    <w:p>
      <w:r>
        <w:t>Dans le cadre d'une procédure de révision de la rente, l'assurée a par la suite été examinée au centre régional de l'assurance-invalidité N._______ en date du 29 septembre 2005. Dans le rapport médical y relatif (dossier AI p. 79-81; rapport non daté), le Dr L._______ a constaté que l'état de santé de l'assurée s'était significativement amélioré depuis l'examen effectué en 2002 par les Drs E._______, F._______ et G._______. Il a justifié son appréciation par le fait que la recourante présentait une marche fluide sans atteinte de la trophie des jambes, qu'il existait nouvellement une discordance entre les plaintes et le status clinique (volume identique de la partie supérieure des jambes, limitation peu prononcée des mouvements lombaires et absence de symptômes neurologiques mis à part des plaintes subjectives de l'assurée indiquant des manques de sensation intermittents) et que l'on ne retrouvait plus chez la recourante de déficience motorique avec parésie des releveurs du pied IV/V. Il s'ensuivait que l'assurée présentait au moment de l'examen une capacité de gain d'au moins 50% dans une activité légère de substitution. Dans l'expertise orthopédique du 27 février 2007 (dossier AI p. 28-38), le Dr M._______ a également retenu que la recourante disposait d'une capacité de travail d'au moins 50% dans une activité adaptée et a confirmé l'avis du Dr L._______, selon lequel les éléments objectifs recueillis ne permettaient pas d'expliquer l'étendue des plaintes exprimées par la recourante. Il a d'une part mis en évidence que l'arthrose fémoro-patellaire dont souffre l'assurée était certes relevante au niveau clinique. Il convenait toutefois de prendre en considération que, au niveau radiologique, cette atteinte ne se manifestait pas de façon extrême et que des éléments objectifs tels qu'une marche fluide et un volume identique des deux jambes parlaient en faveur de l'absence de limitation fonctionnelle. Par ailleurs, il a relevé qu'une amélioration significative de l'état de santé par rapport à 2002 était également intervenue en ce qui concerne la symptomatique liée à la hernie discale foraminale avec actuellement l'absence certaine de déficits moteurs liés à cette affection (dossier AI p. 33 n° 6.3). L'administration s'est par la suite fondée essentiellement sur les conclusions précitées des Drs L._______ et M._______ pour retenir que l'assurée disposait désormais d'une capacité de travail de 50% dans une activité adaptée.</w:t>
      </w:r>
    </w:p>
    <w:p>
      <w:r>
        <w:rPr>
          <w:b/>
        </w:rPr>
        <w:t>E. 9.3</w:t>
      </w:r>
    </w:p>
    <w:p>
      <w:r>
        <w:t>La recourante met pour sa part en doute l'appréciation des médecins mandatés par l'OAI BL en renvoyant à divers rapports médicaux qui s'expriment de façon moins favorable quant à l'évolution de son état de santé et sa capacité de travail.</w:t>
      </w:r>
    </w:p>
    <w:p>
      <w:r>
        <w:rPr>
          <w:b/>
        </w:rPr>
        <w:t>E. 9.4.1</w:t>
      </w:r>
    </w:p>
    <w:p>
      <w:r>
        <w:t>Cela étant, le Tribunal de céans constate qu'autant la prise de position du Dr L._______ en rapport avec l'examen de l'assurée en septembre 2005 au SMR N._______ (rapport médical non daté [dossier AI p. 79-81]) que l'expertise orthopédique du 27 février 2007 signée par le Dr.______ (dossier AI p. 28-38) satisfont à toutes les exigences jurisprudentielles en la matière, de sorte qu'il convient de leur reconnaître une valeur probante certaine (cf. supra consid. 6). Ils sont d'autant plus convaincants que la première expertise du 10 avril 2002 concluant à une capacité de travail de la recourante de seulement 30% dans une activité adaptée insistait sur l'état non stabilisé de l'assurée, notamment en ce qui concerne le traitement de la hernie discale encore en cours (dossier AI p. 127).</w:t>
      </w:r>
    </w:p>
    <w:p>
      <w:r>
        <w:rPr>
          <w:b/>
        </w:rPr>
        <w:t>E. 9.4.2</w:t>
      </w:r>
    </w:p>
    <w:p>
      <w:r>
        <w:t>Par ailleurs, force est de constater que les rapports médicaux produits par la recourante n'apportent pas d'indices concrets suffisants permettant de remettre en cause les conclusions des Drs L._______ et M._______ ou de conclure à une péjoration significative de l'état de santé de l'assurée au moment où la décision litigieuse a été rendue. En effet, les rapports du Dr K._______ des 23 juin 2005, 2 août 2007, 4 septembre 2007 et 22 décembre 2007 (dossier AI p. 88; pce TAF 3 p. 2-3; pce TAF 11 p. 4) restent très succincts et ne prennent aucunement position sur les avis détaillés des Drs L._______ et M._______ qui retiennent notamment que, actuellement, la recourante ne présente plus de déficits moteurs en rapport avec la hernie discale foraminale en L5/S1. En ce qui concerne l'arthrose cervicale dont souffre nouvellement l'assurée, il convient de relever que cette affection a été mentionnée pour la première fois dans le rapport médical du 2 août 2007 signé par le Dr K._______ (pce TAF 3 p. 3), soit après le prononcé de la décision attaquée. Il n'y a ainsi aucune raison de penser que cette atteinte - qui par ailleurs n'a pas donné lieu à une hernie discale ou à une protrusion notable selon le rapport médical du 7 août 2007 établi par le Dr Q._______ (pce TAF 3 p. 5) - aurait pu avoir une incidence déterminante sur la capacité de travail de l'assurée dans la période déterminante allant jusqu'au prononcé de l'acte entrepris le 4 juillet 2007 (cf. à ce sujet ATF 129 V 1 consid. 1.2; ATF 121 V 362 consid. 1b; ATF 99 V 98 consid. 4; arrêt du Tribunal fédéral I 856/02 du 24 décembre 2003 consid. 2.3). Au demeurant, les autres rapports médicaux postérieurs à la date de la décision entreprise ne sont également pas de nature à remettre en question l'appréciation des Drs L._______ et M._______. On note en particulier que le Dr Q._______, dans son rapport du 13 octobre 2007 (pce TAF 7 p. 2), estime que toute reprise professionnelle entraînerait une accélération de l'état dégénératif constaté depuis plusieurs années chez l'assurée. Il semble ainsi être d'avis que même une activité de substitution légère exercée à 50% et prenant en compte les limites fonctionnelles retenues par le Dr M._______ (cf. supra let. E) serait incompatible avec l'atteinte dont souffre la recourante. Le Tribunal de céans ne peut toutefois se rallier à cette appréciation qui n'est pas suffisamment étayée. Par ailleurs, on remarque que l'assurée est tout à fait en mesure d'effectuer des activités légères dans le domaine privé (cf. dossier AI p. 74-76 [rapport du 28 novembre 2005 concernant les personnes travaillant dans le ménage]) et qu'il ne ressort pas du dossier que des restrictions y relatives aient été prescrites par ses médecins. Finalement, le rapport du 13 septembre 2007 établi par le Dr R._______ (pce TAF 3 p. 6) fait part d'une majoration de la chondropathie fémoro-patellaire grade IV. Hormis son caractère succinct, ce document prend position sur l'état de santé de la recourante à un moment postérieur à la décision attaquée, de sorte qu'il ne saurait être déterminant pour l'issue de la présente cause. Il peut tout au plus servir de fondement à l'assurée pour présenter une demande de révision de la rente, comme l'a à juste titre indiqué l'OAI BL dans ses observations des 23 novembre 2007 (pce TAF 9 p. 3) et 6 février 2008 (pce TAF 13 p. 3).</w:t>
      </w:r>
    </w:p>
    <w:p>
      <w:r>
        <w:rPr>
          <w:b/>
        </w:rPr>
        <w:t>E. 9.5</w:t>
      </w:r>
    </w:p>
    <w:p>
      <w:r>
        <w:t>Dans ces circonstances et conformément à la jurisprudence en la matière (cf. supra consid. 7.2), le Tribunal de céans ne voit pas de motifs suffisants de s'écarter des appréciations concordantes et dûment étayées des Drs L._______ et M._______. Il y a donc lieu de retenir que, dans la période déterminante, l'exercice d'une activité de substitution légère était médicalement exigible de la part de la recourante en tenant compte de certaines limitations fonctionnelles indiquées dans l'expertise du 27 février 2007 (alternation des positions debout assis; exercice de l'activité sur des terrains plats; pas de longues marches et stations debout prolongées [dossier AI p. 34 n° 7.4]).</w:t>
      </w:r>
    </w:p>
    <w:p>
      <w:r>
        <w:rPr>
          <w:b/>
        </w:rPr>
        <w:t>E. 10</w:t>
      </w:r>
    </w:p>
    <w:p>
      <w:r>
        <w:t>Il convient encore de déterminer la perte de gain que la recourante subirait dans l'exercice d'une activité médicalement exigible.</w:t>
      </w:r>
    </w:p>
    <w:p>
      <w:r>
        <w:rPr>
          <w:b/>
        </w:rPr>
        <w:t>E. 10.1</w:t>
      </w:r>
    </w:p>
    <w:p>
      <w:r>
        <w:t>Il sied en premier lieu de relever que la recourante ne conteste ni le choix ni l'application de la méthode mixte (cf. supra consid. 4), pas plus que la réduction en pourcentage du temps consacré à ses travaux habituels. On observe en particulier que, lors de la deuxième enquête ménagère effectuée au domicile de l'assurée en date du 15 novembre 2005 (cf. à ce sujet dossier AI p. 72-78 [rapport concernant les assurés travaillant dans le ménage daté du 28 novembre 2005 retenant un taux d'invalidité correspondant de 16.9%]), cette dernière a même expressément indiqué en faire plus que lors de la première enquête ménagère (cf. dossier AI p. 108-113 [rapport concernant les assurés travaillant dans le ménage daté du 7 octobre 2003 retenant un taux d'invalidité y relatif de 29.1%]; voire également dossier AI p. 34 n° 7.2 [expertise du 27 février 2007]). Dans ces conditions, la Cour de céans ne voit pas de raison de s'écarter des données retenues dans le rapport du 28 novembre 2005 susmentionné (dossier AI p. 72-76) qui tiennent compte - comme la jurisprudence le requiert - de la situation familiale, sociale et professionnelle, des tâches de soins, des aptitudes, des dispositions et des prédispositions (cf. ATF 125 V 146 consid. 2c) ainsi que de la situation médicale. En particulier, on relève que l'autorité inférieure a agi conformément à la pratique relative à l'application de la méthode mixte (cf. ATF 125 V 146 consid. 4), en retenant in casu une pondération de 0.8 pour la part de l'activité lucrative et de 0.2 pour la part consacrée aux travaux habituels. Il y a toutefois lieu d'apporter deux corrections au rapport d'enquête ménagère du 28 novembre 2005 dues à des erreurs de calcul manifestes faites par l'OAI BL. En effet, le taux d'empêchement au chiffre 4.2 est de 11.25% (45 x 25%) au lieu de 9% comme retenu par l'administration. En outre, le taux d'empêchement au chiffre 4.4 est de 0.5% (0.1 x 5%) à la place de 0.6%. Il s'ensuit que le taux d'empêchement total pour les activités ménagères se monte à 19.05 et non à 16.9% tel que l'indique l'autorité inférieure.</w:t>
      </w:r>
    </w:p>
    <w:p>
      <w:r>
        <w:rPr>
          <w:b/>
        </w:rPr>
        <w:t>E. 10.2</w:t>
      </w:r>
    </w:p>
    <w:p>
      <w:r>
        <w:t>Selon la jurisprudence, chez les assurés partiellement actifs, l'invalidité s'évalue, pour la part consacrée à leur activité lucrative, en application de la méthode générale (cf. consid. 4), soit par comparaison des revenus sans invalidité et avec invalidité, sur un marché du travail équilibré. Ne sont pas déterminants les critères médico-théoriques, mais bien plutôt les répercussions de l'atteinte à la santé sur la capacité de gain (ATF 114 V 310 consid. 3c).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et 9C_236/2008 du 4 août 2008; voire également VSI 1999 p. 247 consid. 1 et les références citées).</w:t>
      </w:r>
    </w:p>
    <w:p>
      <w:r>
        <w:rPr>
          <w:b/>
        </w:rPr>
        <w:t>E. 10.3.1</w:t>
      </w:r>
    </w:p>
    <w:p>
      <w:r>
        <w:t>Le revenu sans invalidité se détermine en établissant au degré de la vraisemblance prépondérante ce que l'assurée aurait effectivement réalisé au moment déterminant s'il était en bonne santé (ATF 129 V 222 consid. 4.3.1. et les réf.). A ce titre il convient en général de se référer au dernier salaire que l'assurée a obtenu avant l'atteinte à la santé. C'est précisément ce que l'autorité intimée a fait en se basant sur le formulaire pour l'employeur daté du 12 octobre 2001 (dossier AI p. 141-143) qui fait part d'un salaire mensuel brut de Fr. 2340.- pour un 80% en 2000 avec un treizième salaire, ce qui donne un revenu annuel de Fr. 30'420.-. L'autorité dit avoir indexé le salaire à l'indice de l'évolution des salaires nominaux pour arriver au montant de Fr. 32'124.- (décision du 22 mars 2006 [dossier AI p. 53] se référant à "La Vie économique, 2002 livre 8, tableau B 10. 2 p. 93"). Etant donné que l'administration a supprimé la rente de l'assurée par décision du 22 mars 2006, il convient toutefois de tenir compte de l'évolution des salaires jusqu'à 2006, en indexant le salaire susmentionné selon l'indice suisse de l'évolution des salaires nominaux (cf. Office fédéral de la statistique [ci-après: OFS], Évolution des salaires 2007, T1.39, p. 23), à savoir 2190 en 2000 et 2417 en 2006. Le revenu annuel sans invalidité se monte ainsi à Fr. 33'573.12 ([{30'420 : 2190} x 2417]).</w:t>
      </w:r>
    </w:p>
    <w:p>
      <w:r>
        <w:rPr>
          <w:b/>
        </w:rPr>
        <w:t>E. 10.3.2.1</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(cf. à ce sujet http://www.bfs.admin.ch/bfs/portal/fr/index/themen/03/04.html; ATF 129 V 472 consid. 4.2.1).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L'important dans cette opération est que les deux termes de la comparaison, à savoir revenu sans invalidité et revenu d'invalide, soient équivalents, c'est-à-dire qu'ils se rapportent à un même marché du travail (ATF 110 V 273 consid. 4d; arrêt du Tribunal fédéral I 383/06 du 5 avril 2007 consid. 4.4) et à une même année de référence. S'agissant d'une ressortissante française frontalière ayant exercé sa dernière activité en Suisse, c'est à juste titre que l'autorité s'est référée à l'ESS pour déterminer son gain hypothétique d'invalide.</w:t>
      </w:r>
    </w:p>
    <w:p>
      <w:r>
        <w:rPr>
          <w:b/>
        </w:rPr>
        <w:t>E. 10.3.2.2</w:t>
      </w:r>
    </w:p>
    <w:p>
      <w:r>
        <w:t>En l'occurrence, la décision du 22 mars 2006 (dossier AI p. 53) fixe le revenu annuel avec invalidité de l'assurée à Fr. 50'225.-, en se fondant sur les données salariales résultant de l'ESS 2002 concernant la moyenne totale de la rubrique femmes pour des activités simples et répétitives (cf. TA 1 niveau de qualification 4) et en adaptant le salaire obtenu à l'évolution des prix jusqu'en 2004 et au temps de travail effectif dans cette branche en 2004. L'administration a par ailleurs opéré une diminution du salaire d'invalide de 50%, étant donné que, sur le plan médical, il ne peut être exigé de l'assurée qu'elle exerce une activité adaptée à plus de 50% et également de 25% pour tenir compte des motifs personnels et professionnels du cas particulier. Elle a retenu un salaire annuel avec invalidité de Fr. 18'834.-. Comme exposé ci-dessus en rapport avec le salaire sans invalidité (cf. supra consid. 10.3.1), il convient toutefois de prendre comme référence l'année où la rente a été supprimée à savoir 2006. Il sied ainsi de se référer aux données de l'ESS concernant l'année 2006 desquelles il résulte que le salaire moyen, toutes branches économiques confondues, pour les femmes dans des activités simples et répétitives était de Fr. 48'228.- (4'019 x 12) en 2006. En adaptant ce montant à la durée normale du travail dans les entreprises en 2006 de 41,7 h./sem, cela donne un revenu de Fr. 50'277.69.- pour une activité à 100% et de Fr. 25'138.85 pour un activité à 50% (taux de travail médicalement exigible de la part de la recourante). Il convient encore d'opérer deux réductions distinctes sur ce dernier montant pour les raisons exposées ci-après.</w:t>
      </w:r>
    </w:p>
    <w:p>
      <w:r>
        <w:rPr>
          <w:b/>
        </w:rPr>
        <w:t>E. 10.3.2.3</w:t>
      </w:r>
    </w:p>
    <w:p>
      <w:r>
        <w:t>Selon le Tribunal fédéral, il peut se justifier d'opérer un parallélisme des revenus à comparer si la rémunération de l'assuré était nettement inférieure aux normes de salaire usuelles dans la branche concernée pour des raisons étrangères à l'invalidité (par exemple pour cause de formation scolaire minime, de manque de formation professionnelle ou de difficultés à être embauché consécutives au status de saisonnier) et que rien n'incite à penser que l'assuré s'était volontairement contenté d'un salaire inférieur à la moyenne (ATF 135 V 58 consid. 3.1; arrêt du Tribunal fédéral I 848/05 du 29 novembre 2006 consid. 5.2.1). En pratique, le parallélisme des deux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135 V 297 précise qu'un revenu peut être considéré comme nettement inférieur à la moyenne, en cas de divergence d'au moins 5% par rapport au salaire statistique usuel. Par ailleurs, le parallélisme doit porter seulement sur la part qui excède le taux minimal déterminant de 5%. En l'espèce, l'administration, dans la décision du 24 mars 2004 octroyant une rente d'invalidité à l'assurée (dossier AI p. 98), a effectué une diminution de "17.48%" sur le salaire d'invalide pour tenir compte de la différence entre le salaire effectif de l'assurée et le salaire usuel dans la branche. Elle a par conséquent estimé que les conditions pour opérer un parallélisme des revenus étaient remplies in casu et le Tribunal de céans ne voit pas de motifs suffisants pour revenir sur cette appréciation en cours de la présente procédure de révision du droit à la rente. Ici également, il convient donc de réduire le revenu sans invalidité en conséquence. La recourante était engagée comme aide au ménage avec pour le moins la garde d'un enfant (cf. expertise du 10 avril 2002 [dossier AI p. 118 et 127]; expertise du 27 février 2007 [dossier AI p. 34 n° 7.2; voire également dossier AI p. 144) et aide de bureau (dossier AI p. 77 et 141 n° 6). Cela correspond selon la nomenclature de l'ESS: à l'activité d'une maman de jour classée sous le chiffre 85 de la TA 1 avec un salaire moyen en 2006 pour une salariée exerçant des activités simples et répétitives de Fr. 4'437.- avec un horaire de 40 h./sem. (secteur "santé et activités sociales"; cf. OFS [éd.], nomenclature générale des activités économiques, Berne 2002 p. 182 n° 85.32A) et de Fr. 4'603.39 pour 41.5 h./sem. (horaire usuel dans cette branche); aux activités de nettoyage de bâtiment et de secrétariat classées sous le chiffre 74 de la TA1 avec un salaire moyen en 2006 pour une salariée exerçant des activités simples et répétitives de Fr. 3'845.- avec un horaire de 40 h./sem. (secteur "services fournis aux entreprises" OFS, op. cit., p. 166 n° 74.70B [nettoyage intérieur de bâtiment] et p. 167 n° 74.85A [secrétariat]) et de Fr. 4'008.41 pour 41.7 h./sem.. La moyenne de ces deux secteurs d'activités se monte à Fr. 4'305.90 ([4'603.39 + 4'008.41] : 2), ce qui revient à un salaire annuel de Fr 51'671.- pour un travail à 100% et de Fr. 41'336.64 pour un travail à 80%. Le salaire usuel statistique est ainsi de 18.78% supérieur au salaire effectif ([{41'336.64 - 33'573.12} : 41'336.64] x 100). La part excédant le taux minimal de 5% est par conséquent de 13.78%. Il convient donc encore de réduire le salaire de substitution de Fr. 3'464.13 (13.78% de Fr. 25'138.85; cf. ci-dessus consid. 10.3.2.2 in fine), ce qui donne un montant de 21'674.72.</w:t>
      </w:r>
    </w:p>
    <w:p>
      <w:r>
        <w:rPr>
          <w:b/>
        </w:rPr>
        <w:t>E. 10.3.2.4</w:t>
      </w:r>
    </w:p>
    <w:p>
      <w:r>
        <w:t>En ce qui concerne la réduction pour des motifs personnels et professionnels, on note que, selon la jurisprudence du Tribunal fédéral, la mesure dans laquelle les salaires ressortant des statistiques doivent être réduits dépend de l'ensemble des circonstances du cas particulier (limitations liées au handicap, âge, années de service, nationalité/catégorie d'autorisation de séjour et taux d'occupation) et relève en premier lieu de l'office AI, qui dispose pour cela d'un large pouvoir d'appréciation. Par ailleurs,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force est de constater que l'OAI BL n'a pas retenu des conclusions identiques sur ce point dans la présente affaire. En effet, dans la décision du 22 mars 2006 (dossier AI p. 51-54), l'administration a opéré une réduction de 25% pour motifs personnels et professionnels. Dans la décision sur opposition du 4 juillet 2007 (dossier AI p. 17-20), elle a en revanche estimé qu'une réduction n'était pas justifiée, étant donné que, dans l'expertise effectuée à l'Hôpital S._______, toutes les limitations avaient déjà été prises en considération en retenant une capacité de travail de 50%. Cette conclusion n'est toutefois pas reprise dans la réponse au recours de l'OAI BL du 14 septembre 2007 (pce TAF 4 p. 4 n° 6) où l'autorité confirme sans réserve la comparaison des revenus effectuée dans la décision du 22 mars 2006. Face à ces prises de position contradictoires et quand bien même le Tribunal fédéral a maintes fois admis un abattement de 20% si l'assuré ne peut plus exercer sa précédente activité et qu'il ne peut accomplir une activité de substitution légère que partiellement (cf. arrêt du Tribunal fédéral I 870/05 du 2 mai 2007 consid. 9 et les nombreuses références citées), le Tribunal de céans estime qu'il existe de sérieuses et pertinentes raisons de s'écarter des conclusions de l'autorité inférieure in casu et considère que, tout au plus, une réduction de 15% est adaptée au cas d'espèce, étant donné le parallélisme des revenus effectué (cf. ATF 135 V 297 consid. 5.3), le fait que l'assurée ne peut plus exercer la profession de garde d'enfants et d'aide au ménage en partie lourde, les limites fonctionnelles (cf. supra let. E), l'âge de la recourante (54 ans en 2009), ses connaissances professionnelles peu étendues dans d'autres matières (profession de vendeuse abandonnée depuis 1981 [dossier AI p. 152]) et l'éventail d'activités lui étant encore accessible. Le revenu avec invalidité se monte ainsi à Fr. 18'423.51 (85% de 21'674.72; cf. supra consid. 10.3.2.3 in fine).</w:t>
      </w:r>
    </w:p>
    <w:p>
      <w:r>
        <w:rPr>
          <w:b/>
        </w:rPr>
        <w:t>E. 10.3.3</w:t>
      </w:r>
    </w:p>
    <w:p>
      <w:r>
        <w:t>Le calcul comparatif des revenus fait ainsi apparaître un préjudice économique de 45.12% ([{33'573.12 - 18'423.51} x 100] : 33'573.12) auquel on applique la part pondérée liée à l'activité lucrative (0,8; cf. supra consid. 4 et 9.1) ce qui donne un taux d'invalidité de 36.1%. Couplé avec la part pondérée du handicap de 19.05% dans les activités ménagères (0,2 x 19.05% = 3.81; cf. à ce sujet supra consid. 10.1), le degré total d'invalidité est de 39.91% resp. de 40% une fois arrondi au pou-cent supérieur (cf. ATF 130 V 122 consid. 3.2). Ce taux donne droit à un quart à de rente (art. 28 al. 1 LAI).</w:t>
      </w:r>
    </w:p>
    <w:p>
      <w:r>
        <w:rPr>
          <w:b/>
        </w:rPr>
        <w:t>E. 10.3.4</w:t>
      </w:r>
    </w:p>
    <w:p>
      <w:r>
        <w:t>Au vu de ce qui précède, il convient par conséquent d'admettre partiellement le recours et de réformer la décision attaquée en ce sens qu'il est reconnu à la recourante le droit à un quart de rente à partir du 1er mai 2006.</w:t>
      </w:r>
    </w:p>
    <w:p>
      <w:r>
        <w:rPr>
          <w:b/>
        </w:rPr>
        <w:t>E. 11</w:t>
      </w:r>
    </w:p>
    <w:p>
      <w:r>
        <w:t>Indépendamment de l'issue de la procédure, il n'est pas perçu de frais de procédure. En effet, étant donné que la recourante a présenté son opposition à la décision de l'OAI BL du 9 décembre 2005 au mois de décembre 2005 et que, par conséquent, la procédure d'opposition était pendante auprès de l'OAIE au moment de l'entrée en vigueur, le 1er juillet 2006, de la modification de la LAI du 16 décembre 2005 (et notamment de son art. 69 al. 2), la procédure était gratuite pour celle-ci (cf. la let. b des dispositions transitoires relatives à la modification de la LAI du 16 décembre 2005 concernant les mesures de simplification de la procédure en relation avec l'art. 69 al. 2 LAI a contrario).</w:t>
      </w:r>
    </w:p>
    <w:p>
      <w:r>
        <w:rPr>
          <w:b/>
        </w:rPr>
        <w:t>E. 12</w:t>
      </w:r>
    </w:p>
    <w:p>
      <w:r>
        <w:t>La recourante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