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C-5096/2012 vom 24. Februar 2014</w:t>
      </w:r>
    </w:p>
    <w:p>
      <w:r>
        <w:t>Bundesverwaltungsgericht, 2014-02-24, FR</w:t>
      </w:r>
    </w:p>
    <w:p>
      <w:r>
        <w:rPr>
          <w:b/>
        </w:rPr>
        <w:t xml:space="preserve">Quelle: </w:t>
      </w:r>
      <w:r>
        <w:t>https://mcp.opencaselaw.ch/entscheid/bvger_C-5096_2012</w:t>
      </w:r>
    </w:p>
    <w:p>
      <w:r>
        <w:t>FR: TAF C-5096/2012 du 24 février 2014</w:t>
      </w:r>
    </w:p>
    <w:p>
      <w:r>
        <w:t>IT: TAF C-5096/2012 del 24 febbraio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LTF) en matière de naturalisation facilitée sont susceptibles de recours au Tribunal qui statue comme autorité précédent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w:t>
      </w:r>
    </w:p>
    <w:p>
      <w:r>
        <w:rPr>
          <w:b/>
        </w:rPr>
        <w:t>E. 3</w:t>
      </w:r>
    </w:p>
    <w:p>
      <w:r>
        <w:t>Dans un grief d'ordre formel qu'il convient d'examiner en premier lieu compte tenu de sa nature cassatoire, la recourante se plaint d'une violation de son droit d'être entendue.</w:t>
      </w:r>
    </w:p>
    <w:p>
      <w:r>
        <w:rPr>
          <w:b/>
        </w:rPr>
        <w:t>E. 3.1</w:t>
      </w:r>
    </w:p>
    <w:p>
      <w:r>
        <w:t>Le droit d'être entendu, dont la garantie se trouve inscrite à l'art. 29 al. 2 de la Constitution fédérale de la Confédération suisse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132 II 485 consid. 3.2, 129 II 497 consid. 2.2 et références citées).</w:t>
      </w:r>
    </w:p>
    <w:p>
      <w:r>
        <w:rPr>
          <w:b/>
        </w:rPr>
        <w:t>E. 3.2</w:t>
      </w:r>
    </w:p>
    <w:p>
      <w:r>
        <w:t>Dans son pourvoi du 28 septembre 2012, A._______ a fait grief à l'autorité intérieure de ne pas avoir donné suite à ses offres de preuve, soit l'audition de deux témoins dont elle avait fourni les coordonnées à l'autorité, alors que cela était, d'après elle, nécessaire à l'établissement des faits.</w:t>
      </w:r>
    </w:p>
    <w:p>
      <w:r>
        <w:rPr>
          <w:b/>
        </w:rPr>
        <w:t>E. 3.2.1</w:t>
      </w:r>
    </w:p>
    <w:p>
      <w:r>
        <w:t>Une partie ne peut exiger d'être entendue oralement en procédure administrative, celle-ci étant en principe écrite (cf. arrêt du Tribunal fédéral 1C_323/2011 du 12 octobre 2011 consid. 2.2 ; cf. également arrêt du Tribunal administratif fédéral C-1087/2011 du 30 avril 2012 consid. 3.2.2). De plus, il n'est procédé à l'audition de parties ou de témoins que si de telles mesures d'instruction paraissent indispensables à l'établissement des faits de la cause (cf. arrêt du Tribunal fédéral 1C_323/2011 précité, ibid.).</w:t>
      </w:r>
    </w:p>
    <w:p>
      <w:r>
        <w:rPr>
          <w:b/>
        </w:rPr>
        <w:t>E. 3.2.2</w:t>
      </w:r>
    </w:p>
    <w:p>
      <w:r>
        <w:t>A cet égard, on peut effectivement s'interroger sur le fait que la recourante ait ou non formellement requis l'audition des personnes auxquelles elle fait référence dans son mémoire de recours. Dès lors qu'elle a transmis à l'ODM leurs coordonnées, l'on ne devrait toutefois pas être excessivement formaliste à cet égard.</w:t>
      </w:r>
    </w:p>
    <w:p>
      <w:r>
        <w:rPr>
          <w:b/>
        </w:rPr>
        <w:t>E. 3.2.3</w:t>
      </w:r>
    </w:p>
    <w:p>
      <w:r>
        <w:t>Cela étant, même si l'on admet que la recourante a expressément sollicité les auditions précitées, le Tribunal estime que c'est à bon droit que l'ODM a considéré que les faits de la cause étaient suffisamment établis par les pièces figurant au dossier, de sorte qu'il ne s'avérait pas indispensable de procéder à des auditions. C'est ici le lieu de rappeler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arrêt du Tribunal administratif fédéral C 7793/2010 du 15 juillet 2011 consid. 8 et jurisprudence citée). En l'occurrence, dans la mesure où l'ODM n'a pas remis en cause les dires de l'intéressée, que des témoins étaient censés corroborer, dite autorité n'avait pas besoin d'auditionner lesdits témoins pour confirmer ces faits. L'autorité inférieure a donc légitimement renoncé à procéder à ces auditions.</w:t>
      </w:r>
    </w:p>
    <w:p>
      <w:r>
        <w:rPr>
          <w:b/>
        </w:rPr>
        <w:t>E. 3.2.4</w:t>
      </w:r>
    </w:p>
    <w:p>
      <w:r>
        <w:t>Enfin, dans la mesure où l'intéressée a pu déposer les déclarations écrites de ces personnes devant le Tribunal, une éventuelle violation du droit d'être entendu devrait - en tout état de cause - être considérée comme réparée.</w:t>
      </w:r>
    </w:p>
    <w:p>
      <w:r>
        <w:rPr>
          <w:b/>
        </w:rPr>
        <w:t>E. 3.2.5</w:t>
      </w:r>
    </w:p>
    <w:p>
      <w:r>
        <w:t>Partant, le grief tiré d'une violation du droit d'être entendu doit être écarté.</w:t>
      </w:r>
    </w:p>
    <w:p>
      <w:r>
        <w:rPr>
          <w:b/>
        </w:rPr>
        <w:t>E. 3.3</w:t>
      </w:r>
    </w:p>
    <w:p>
      <w:r>
        <w:t>Dans le cadre de la procédure de recours, A._______ a en outre requis sa propre audition. Pour les mêmes raisons que celles déjà exposées ci-avant (cf. consid. 3.2.3), le Tribunal considère qu'il n'y a pas lieu de donner suite à cette requête de la recourante. En particulier, le Tribunal ne voit pas - et la recourante ne l'explique pas non plus en termes d'éléments de fait supplémentaires - ce que des explications orales de sa part apporteraient de plus, par rapport au mémoire de recours dans lequel elle a déjà pu s'exprimer pleinement ; l'intéressée n'a au surplus pas demandé un tour d'écritures supplémentaires et un tel échange n'est pas apparu nécessaire. Il y a dès lors lieu de renoncer à l'audition personnelle de la recourante.</w:t>
      </w:r>
    </w:p>
    <w:p>
      <w:r>
        <w:rPr>
          <w:b/>
        </w:rPr>
        <w:t>E. 4.1</w:t>
      </w:r>
    </w:p>
    <w:p>
      <w:r>
        <w:t>En vertu de l'art. 27 al. 1 de la loi fédérale sur l'acquisition et la perte de la nationalité suisse du 29 septembre 1952 (LN, RS 141.0),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(ATF 135 II précité, ibid.).</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 ATF 124 III 52 consid. 2a/aa et ATF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aussi les ATF 130 II 482 consid. 2 et 128 II 97 consid. 3a).</w:t>
      </w:r>
    </w:p>
    <w:p>
      <w:r>
        <w:rPr>
          <w:b/>
        </w:rPr>
        <w:t>E. 5.1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Tribunal fédéral 1C_158/2011 du 26 août 2011 consid. 4.2.1 et jurisprudence citée).</w:t>
      </w:r>
    </w:p>
    <w:p>
      <w:r>
        <w:rPr>
          <w:b/>
        </w:rPr>
        <w:t>E. 5.2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et références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w:t>
      </w:r>
    </w:p>
    <w:p>
      <w:r>
        <w:rPr>
          <w:b/>
        </w:rPr>
        <w:t>E. 5.3</w:t>
      </w:r>
    </w:p>
    <w:p>
      <w:r>
        <w:t>S'agissant d'une présomption de fait, qui ressortit à l'appréciation des preuves et ne modifie pas le fardeau de la preuve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 voir également les arrêts du Tribunal fédéral 1C_155/2012 précité, consid. 2.2.2, et 1C_58/2012 du 10 juillet 2012 consid. 4.1.2).</w:t>
      </w:r>
    </w:p>
    <w:p>
      <w:r>
        <w:rPr>
          <w:b/>
        </w:rPr>
        <w:t>E. 6</w:t>
      </w:r>
    </w:p>
    <w:p>
      <w:r>
        <w:t>A titre préliminaire, le Tribunal constate que les conditions formelles de l'annulation de la naturalisation facilitée prévues à l'art. 41 LN sont réalisées dans le cas particulier. En effet, la naturalisation facilitée accordée le 18 novembre 2009 à A._______ a été annulée par l'autorité inférieure en date du 28 août 2012, soit avant l'échéance du délai péremptoire prévu par la disposition légale, et avec l'assentiment de l'autorité cantonale compétente.</w:t>
      </w:r>
    </w:p>
    <w:p>
      <w:r>
        <w:rPr>
          <w:b/>
        </w:rPr>
        <w:t>E. 7</w:t>
      </w:r>
    </w:p>
    <w:p>
      <w:r>
        <w:t>Il convient dès lors d'examiner si les circonstances du cas particulier répondent aux conditions matérielles de l'annulation de la naturalisation facilitée.</w:t>
      </w:r>
    </w:p>
    <w:p>
      <w:r>
        <w:rPr>
          <w:b/>
        </w:rPr>
        <w:t>E. 7.1</w:t>
      </w:r>
    </w:p>
    <w:p>
      <w:r>
        <w:t>Dans la motivation de la décision querellée, l'autorité inférieure a retenu que l'enchaînement logique et chronologique des évènement démontrait qu'au moment du prononcé de la naturalisation, la communauté sur laquelle était basée la requête de naturalisation facilitée ne remplissait pas ou plus les critères exigés en la matière. L'examen des faits pertinents de la cause, ainsi que leur déroulement chronologique relativement rapide, amènent le Tribunal à une conclusion identique.</w:t>
      </w:r>
    </w:p>
    <w:p>
      <w:r>
        <w:rPr>
          <w:b/>
        </w:rPr>
        <w:t>E. 7.2</w:t>
      </w:r>
    </w:p>
    <w:p>
      <w:r>
        <w:t>En effet, le Tribunal constate que A._______ et B._______ ont signé une déclaration selon laquelle ils vivaient en communauté conjugale effective et stable en date du 26 octobre 2009. Par décision du 18 novembre 2009, l'ODM a accordé la naturalisation facilitée à la prénommée. Le 7 janvier 2010, soit moins de deux mois plus tard, l'intéressée a définitivement quitté le domicile conjugal et elle a requis, le 14 janvier 2010, des mesures protectrices de l'union conjugale. Les époux ont déposé une requête commune en divorce avec accord partiel sur les effets accessoires le 21 juillet 2010 et leur union a été dissoute par jugement du 27 octobre 2010.</w:t>
      </w:r>
    </w:p>
    <w:p>
      <w:r>
        <w:rPr>
          <w:b/>
        </w:rPr>
        <w:t>E. 7.3</w:t>
      </w:r>
    </w:p>
    <w:p>
      <w:r>
        <w:t>Les éléments précités et leur enchaînement chronologique particulièrement rapide sont de nature à fonder la présomption de fait selon laquelle, au moment de la signature de la déclaration commune et a fortiori lors de la décision de naturalisation, A._______ n'avait plus la volonté de maintenir une communauté conjugale effective et stable au sens de l'art. 27 LN. Le court laps de temps séparant la déclaration commune (26 octobre 2009), l'octroi de la naturalisation facilitée (18 novembre 2009), la séparation (7 janvier 2010), la demande de mesures protectrices de l'union conjugale (14 janvier 2010) et la requête commune en divorce (21 juillet 2010) laisse présumer que la recourante n'envisageait déjà plus une vie de couple partagée avec son premier époux lors de la signature de la déclaration de vie commune, respectivement au moment du prononcé de décision de naturalisation, et cela quand bien même les époux ne vivaient pas encore séparés. L'on notera encore qu'il est conforme à la jurisprudence en la matière d'admettre une présomption de fait selon laquelle la communauté conjugale n'était pas stable lors de l'octroi de la naturalisation facilitée si une séparation et l'ouverture d'une procédure en divorce intervient, comme en l'espèce, quelques mois plus tard (soit, en l'occurrence, moins de deux mois - s'agissant de la séparation - et moins de huit mois - s'agissant de l'ouverture de la procédure en divorce - après la décision de naturalisation [voir en ce sens l'arrêt du Tribunal fédéral 1C_172/2012 du 11 mai 2012 consid. 2.3 et arrêts cités]).</w:t>
      </w:r>
    </w:p>
    <w:p>
      <w:r>
        <w:rPr>
          <w:b/>
        </w:rPr>
        <w:t>E. 8</w:t>
      </w:r>
    </w:p>
    <w:p>
      <w:r>
        <w:t>Conformément à la jurisprudence précitée (cf. consid. 5.2 et 5.3), il incombe à la recourante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8.1</w:t>
      </w:r>
    </w:p>
    <w:p>
      <w:r>
        <w:t>A ce propos, A._______ invoque que la dispute du 6 décembre 2009 - survenue donc après l'octroi de la naturalisation facilitée, le 18 novembre 2009 - lui a soudainement fait prendre conscience que la continuation du mariage avec son premier époux n'était plus possible.</w:t>
      </w:r>
    </w:p>
    <w:p>
      <w:r>
        <w:rPr>
          <w:b/>
        </w:rPr>
        <w:t>E. 8.2</w:t>
      </w:r>
    </w:p>
    <w:p>
      <w:r>
        <w:t>Or, si cet évènement a certes pu influer sur la décision prise par l'intéressée de se séparer, il ne saurait toutefois être la seule cause de la désunion et constituer ainsi un évènement extraordinaire survenu après l'octroi de la naturalisation, de nature à expliquer une dégradation rapide du lien conjugal, comme l'intéressée souhaiterait le laisser croire. En effet, d'après les dires de la recourante, les difficultés conjugales ont commencé en 2005 (cf. déterminations du 22 février 2012 p. 3). Si la Dresse F._______ a indiqué qu'il était plausible que la recourante ait pu nier l'intimidation et la violence psychologique et verbale dont elle faisait l'objet de la part de son ex-époux jusqu'à l'agression de décembre 2009, la demande de séparation déposée le 11 septembre 2008 semble au contraire démontrer que l'intéressée avait bien conscience de ses problèmes de couple. Cette dernière n'a pas seulement envisagé la possibilité de se séparer, elle a formellement déposé une demande de séparation devant le Tribunal civil compétent. Il est donc manifeste qu'elle avait pris la pleine mesure des problèmes affectant son couple et même pris une décision quant à l'avenir de celui-ci qu'elle entendait faire entériner par la juridiction compétente. Le retrait ultérieur de cette demande de séparation ne change rien à ce qui précède, d'autant que - moins d'une année et demi plus tard - soit en janvier 2010, la recourante faisait à nouveau appel à la justice pour solliciter le prononcé de mesures protectrices de l'union conjugale et le prononcé de son divorce. La demande de séparation dont il est question s'inscrit dès lors dans le cadre d'un processus, éventuellement jalonné de tentatives de réconciliation, mais qui a finalement abouti au prononcé du divorce peu de temps après. L'existence d'un climat tendu avant l'octroi de la naturalisation est en outre corroboré par le dépôt d'une plainte pénale le 28 décembre 2009 pour des violences que la recourante affirme avoir subies depuis 2006. C'est le lieu de préciser que des actes de violence physique et psychologique envers l'un des conjoints ne sauraient témoigner d'une bonne entente au sein du couple et sont dès lors incompatibles avec la notion de communauté conjugale effective et stable prévalant en matière de naturalisation facilitée (cf. à ce sujet, l'arrêt du Tribunal administratif fédéral C 5831/2009 du 23 juillet 2010 consid. 6.4) Ainsi, force est de constater que la séparation des époux apparaît comme le résultat d'un long processus durant lequel le comportement que la recourante reproche à son ex-époux, B._______, lui est devenu de moins en moins supportable jusqu'à provoquer une rupture définitive de l'union conjugale. La recourante n'est dès lors pas crédible lorsqu'elle affirme que c'est uniquement le 6 décembre 2009, soit près de deux semaines après l'octroi de la naturalisation facilitée, qu'elle a réalisé que son union était vouée à l'échec.</w:t>
      </w:r>
    </w:p>
    <w:p>
      <w:r>
        <w:rPr>
          <w:b/>
        </w:rPr>
        <w:t>E. 8.3</w:t>
      </w:r>
    </w:p>
    <w:p>
      <w:r>
        <w:t>Dans ces circonstances, le Tribunal est d'avis qu'il y a lieu de s'en tenir à la présomption de fait que la naturalisation facilitée a été obtenue de manière frauduleuse (cf. ATF 130 II 482). Partant, l'Office fédéral était parfaitement fondé à prononcer, avec l'assentiment du canton d'origine, l'annulation de la naturalisation facilitée.</w:t>
      </w:r>
    </w:p>
    <w:p>
      <w:r>
        <w:rPr>
          <w:b/>
        </w:rPr>
        <w:t>E. 9</w:t>
      </w:r>
    </w:p>
    <w:p>
      <w:r>
        <w:t>Le dispositif de la décision entreprise (ch. 3) précise que cette annulation fait également perdre la nationalité suisse aux membres de sa famille qui l'auraient acquise en vertu de la décision annulée, ce qui s'avère conforme à l'art. 41 al. 3 LN. Cela étant, la recourante - représentée par un avocat - ne fait valoir aucun grief spécifique à cet égard, de sorte que le Tribunal peut entériner également ce point du dispositif. Il convient toutefois de préciser, comme l'a d'ailleurs relevé l'ODM dans sa décision, que ce point ne concerne ni C._______, ni E._______, tous deux de pères suisses.</w:t>
      </w:r>
    </w:p>
    <w:p>
      <w:r>
        <w:rPr>
          <w:b/>
        </w:rPr>
        <w:t>E. 10</w:t>
      </w:r>
    </w:p>
    <w:p>
      <w:r>
        <w:t>Il ressort de ce qui précède que, par sa décision du 28 août 2012, l'Office fédéral n'a ni violé le droit fédéral, ni constaté des faits pertinents de manière inexacte ou incomplète; en outre, cette décision n'est pas inopportune (art. 49 PA). En conséquence, le recours est rejeté. Vu l'issue de la cause, il y a lieu de mettre les frais de la procédure à la charge de la recourante (cf. art. 63 al. 1 PA en relation avec les art. 1 à 3 du règlement du 21 février 2008 concernant les frais, dépens et indemnités fixés par le Tribunal administratif fédéral [FITAF, RS 173.320.2]). Ceux-ci seront fixés à Fr. 1'200.- et prélevés sur le montant versé à titre d'avance par la recourante. Compte tenu du rejet du recours, la recourante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