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C-5094/2008 vom 16. März 2010</w:t>
      </w:r>
    </w:p>
    <w:p>
      <w:r>
        <w:t>Bundesverwaltungsgericht, 2010-03-16, FR</w:t>
      </w:r>
    </w:p>
    <w:p>
      <w:r>
        <w:rPr>
          <w:b/>
        </w:rPr>
        <w:t xml:space="preserve">Quelle: </w:t>
      </w:r>
      <w:r>
        <w:t>https://mcp.opencaselaw.ch/entscheid/bvger_C-5094_2008</w:t>
      </w:r>
    </w:p>
    <w:p>
      <w:r>
        <w:t>FR: TAF C-5094/2008 du 16 mars 2010</w:t>
      </w:r>
    </w:p>
    <w:p>
      <w:r>
        <w:t>IT: TAF C-5094/2008 del 16 marzo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26 juin 2008, date de la décision attaquée, ne serait pas plus favorable au recourant (cf. arrêt du Tribunal administratif fédéral C-1224/2008 du 28 janvier 2010 consid. 2.2). Par conséquent, sauf indication contraire, les dispositions citées ci-après sont celles en vigueur jusqu'au 31 décembre 2007.</w:t>
      </w:r>
    </w:p>
    <w:p>
      <w:r>
        <w:rPr>
          <w:b/>
        </w:rPr>
        <w:t>E. 3.3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22 juin 2006 (12 mois avant le dépôt de la demande) ou si le droit à une rente était né entre cette date et le 26 juin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arrêt du Tribunal fédéral I 424/04 du 18 octobre 2004 consid. 2.3).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Est litigieux le droit du recourant à une rente d'invalidité, soit le point de savoir s'il présente un taux suffisant pour avoir droit à une rente.</w:t>
      </w:r>
    </w:p>
    <w:p>
      <w:r>
        <w:rPr>
          <w:b/>
        </w:rPr>
        <w:t>E. 9.1</w:t>
      </w:r>
    </w:p>
    <w:p>
      <w:r>
        <w:t>On relève tout d'abord que, selon le rapport E 213 du 31 juillet 2007, le recourant souffre d'oblitération fémoro-poplitée, grade IV, des deux membres inférieurs ayant rendu nécessaire un pontage fémoro-poplitée du membre inférieur droit et une amputation supracondylienne du membre inférieur gauche suite à une ischémie irréversible; il présente également un diabète évoluant depuis 20 ans (pce 23 p. 8 n° 7).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dans quelle mesure le recourant est à même d'exercer une activité lucrative sur le plan médical.</w:t>
      </w:r>
    </w:p>
    <w:p>
      <w:r>
        <w:rPr>
          <w:b/>
        </w:rPr>
        <w:t>E. 9.2.1</w:t>
      </w:r>
    </w:p>
    <w:p>
      <w:r>
        <w:t>L'administration retient que l'assuré peut accomplir un travail de substitution à 100% dans des activités ne requérant ni les stations debout, ni les déplacements. Elle se fonde essentiellement sur l'avis du Dr. B._______, de son service médicale (cf. supra let. C; prise de position médicale du 11 mai 2008 [pce 25]) et de la Dresse C._______ ayant rédigé le rapport médical E 213 du 31 juillet 2007 (pce 23). Se référant aux décisions des institutions de sécurité sociale espagnoles, l'assuré allègue quant à lui que l'exercice d'une activité lucrative quelconque n'est pas exigible de sa part du fait qu'il ne peut se déplacer qu'avec l'aide de béquilles.</w:t>
      </w:r>
    </w:p>
    <w:p>
      <w:r>
        <w:rPr>
          <w:b/>
        </w:rPr>
        <w:t>E. 9.2.2</w:t>
      </w:r>
    </w:p>
    <w:p>
      <w:r>
        <w:t>Selon une jurisprudence constante, l'octroi d'une rente étrangère d'invalidité ne préjuge pas l'appréciation de l'invalidité selon la loi suisse, le degré d'invalidité d'un assuré qui prétend une rente de l'assurance-invalidité suisse étant déterminé exclusivement d'après le droit suisse. Par ailleurs, on note que cette pratique n'est pas remise en cause par les traités internationaux en vigueur dont notamment l'ALCP (ATF 130 V 253 consid. 2.4; arrêt du Tribunal fédéral 8C_193/2009 du 25 janvier 2010 consid. 4.1). Dans l'affaire qui nous occupe, il n'est de ce fait pas déterminant que les institutions de sécurité sociale espagnoles aient reconnu à l'assurée une invalidité permanente absolue à partir du 3 août 2008 (cf. pce 27). Il n'y a ainsi pas lieu de se prononcer sur les divergences entre la notion d'invalidité selon la législation espagnole et celle selon l'ordre juridique suisse.</w:t>
      </w:r>
    </w:p>
    <w:p>
      <w:r>
        <w:rPr>
          <w:b/>
        </w:rPr>
        <w:t>E. 9.2.3</w:t>
      </w:r>
    </w:p>
    <w:p>
      <w:r>
        <w:t>En l'occurrence, le recourant a été victime d'une atteinte à la santé particulièrement grave ayant conduit à l'amputation de sa jambe gauche. Contrairement à ce que prétend l'assuré, une telle affection, aussi incisive soit-elle, ne suffit toutefois pas en elle-même pour justifier un droit à des prestations (cf. arrêts du Tribunal fédéral 9C_843/2007 du 28 juillet 2008; 9C_441/2007 du 6 mai 2008; I 343/03 du 22 mars 2004; voir également arrêt du Tribunal administratif fédéral C-1504/07 du 11 septembre 2008). En effet, on rappelle que, en matière d'assurance-invalidité, ce sont les incidences objectives de l'atteinte à la santé sur la capacité de gain qui sont déterminantes pour le calcul du taux d'invalidité (cf. supra consid. 6.2). Dans ce contexte,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Cela implique notamment la reprise d'une activité lucrative adaptée à ses affections si celle-ci est exigible sur le plan médical dans un marché équilibré du travail (cf. arrêt du Tribunal fédéral I 640/05 du 18 mai 2006 consid. 3.1).</w:t>
      </w:r>
    </w:p>
    <w:p>
      <w:r>
        <w:rPr>
          <w:b/>
        </w:rPr>
        <w:t>E. 9.2.4</w:t>
      </w:r>
    </w:p>
    <w:p>
      <w:r>
        <w:t>Cela étant, force est de constater que le Dr B._______, du service médical de l'OAIE, estime que le recourant peut exercer une activité administrative plutôt sédentaire à 100% (prise de position du 11 mai 2008 [pce 25]). Cette évaluation est corroborée par le rapport médical E 213 du 31 juillet 2007 dans lequel la Dresse C._______, un mois et demi après l'amputation de la jambe gauche de l'assuré, fait notamment part d'un état mental euthymique sans détérioration cognitive (pce 23 p. 3 n° 4.1), d'une bonne vision (pce 23 p. 3 n° 4.2.1), d'une bonne fonctionnalité du rachis cervical, d'un balancement des bras conservé, d'un moignon à la jambe gauche en bon état après infection en rémission (pce 23 p. 5). Sur ces bases, elle conclut que l'assuré présente une capacité de travail entière dans une activité adaptée légère avec limitations fonctionnelles quant à la marche (23 p. 8). Le recourant remet en cause cette appréciation en se fondant exclusivement sur le rapport médical du 15 juin 2007 établi par les Drs D._______ et E._______, spécialistes en angiologie et chirurgie vasculaire. Selon lui, ce document explique suffisamment le caractère invalidant de toutes ses affections (pce TAF 1 p. 2). Tel n'est toutefois pas le cas. En effet, les médecins précités ne prennent pas position quant à l'exigibilité d'une activité de substitution et font part d'un état post-opératoire normal avec un patient asymptomatique à la sortie de l'hôpital en date du 15 juin 2007 (pce 22). Cet avis ne saurait par conséquent remettre en cause les évaluations des C.______ et B._______ qui ont été faites sur une documentation suffisante pour se forger une conviction. Dans ces circonstances, le Tribunal de céans peut se rallier aux conclusions de l'administration et de son service médical qui retient une capacité de travail du recourant de 100% dans l'exercice d'une activité adaptée légère (cf à ce sujet supra let. C).</w:t>
      </w:r>
    </w:p>
    <w:p>
      <w:r>
        <w:rPr>
          <w:b/>
        </w:rPr>
        <w:t>E. 10.1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10.2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10.4</w:t>
      </w:r>
    </w:p>
    <w:p>
      <w:r>
        <w:t>La date où le droit à la rente aurait pu naître au plus tôt est en principe le moment déterminant pour procéder à l'analyse globale de la situation (arrêt du Tribunal fédéral 9C_354/2009 du 7 décembre 2009 consid. 5.2; arrêts du Tribunal administratif fédéral C-474/2007 du 17 mars 2009 consid. 9.3.5; C-8549/2007 du 4 novembre 2009 consid. 9.3.5; quant à l'exigibilité d'un changement de profession voire également arrêt du Tribunal fédéral 9C_612/2007 du 14 juillet 2008 consid. 5.2; I 761/04 du 14 juin 2005 consid. 2.3 se référant à l'ATF 129 V 222; cf. toutefois ). En l'occurrence, il s'agit du 12 mai 2008, soit à un moment où le recourant avait 62 ans et 2 mois (cf. supra let. C et consid. 9.1). L'assuré avait ainsi atteint un seuil à partir duquel on peut parler d'un âge avancé au sens de la jurisprudence susmentionnée (arrêt du Tribunal fédéral 9C_354/2009 du 7 décembre 2009 consid. 5.2), de sorte qu'une approche particulière au sens de la jurisprudence susmentionnée s'impose. Il sied de préciser que la situation serait presque identique si l'on considérait comme moment déterminant la date du prononcé de l'acte entrepris, comme l'a fait le Tribunal fédéral dans un certain nombre d'arrêts (le recourant avait en l'espèce 62 et 3 mois à ce moment-là; cf. arrêts du Tribunal fédéral 9C_104/2008 consid. 4 et les références citées et arrêt du Tribunal fédéral 9C_979/2009 du 10 février 2010 en rapport avec la version de la LAI en vigueur dès le 1er janvier 2008). Cela étant, on relève que les activités de substitution proposées par le service médical de l'OAIE se limitent à des travaux devant être effectués en position assise et sans déplacement tels que par exemple la vente de billet ou la vente par correspondance (cf. supra let. C). Au vu de l'ensemble des circonstances, il n'apparaît pas déraisonnable, en l'espèce, d'exiger de l'assuré qu'il accomplisse de telles tâches. En effet, le recourant ne fait pas part de douleurs particulières dans ces écrits (pce 28; pce TAF 1 p. 2) et rien au dossier n'incite à penser que les affections dont il est atteint feraient obstacle à l'exercice d'activités sédentaires (cf. notamment pce 23 p. 5 n° 8.3 [rapport E 213 du 31 juillet 2007 faisant état d'un moignon en bon état). En outre, les travaux adaptés sont exigibles à plein temps dans différents secteurs. Par ailleurs, ils peuvent être accomplis pendant une durée suffisamment longue, à savoir 2 ans 10 mois (respectivement 2 ans et 9 mois si l'on se réfère à la date du prononcé de la décision entreprise), et n'exigent pas de formation particulière, voire se limitent à une mise au courant initiale. On observe également que le recourant a effectué pendant 6 mois des tâches administratives pour le compte d'une boulangerie (cf. supra let. A-B et consid. 11.2) et dispose par conséquent d'un certain bagage professionnel dans l'exercice de travaux légers. Le Tribunal de céans peut donc conclure qu'il n'est pas irréaliste que le recourant puisse trouver un travail de substitution adapté à son état de santé sur un marché équilibré du travail.</w:t>
      </w:r>
    </w:p>
    <w:p>
      <w:r>
        <w:rPr>
          <w:b/>
        </w:rPr>
        <w:t>E. 11.1.1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11.1.2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11.1.3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11.1.4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l'espèce, l'OAIE n'a pas effectué de comparaison des revenus étant donné que, selon lui, la dernière activité exercée par le recourant est encore exigible de sa part (cf. notamment pce TAF 5 p. 2, paragraphe 5 [réponse au recours du 11 novembre 2008]). Il se fonde à cet effet sur les formulaires pour l'assuré et pour l'employeur indiquant que, en dernier lieu, l'assuré a accompli des tâches administratives légères pour le compte d'une boulangerie (pces 20 p. 3 n° 7b et 21 p. 1 n° 3a). On observe cependant que la Dresse C._______, dans le rapport E 213 du 31 juillet 2007, estime que le recourant n'est plus en mesure d'accomplir sa dernière activité de livreur dans une boulangerie (pce 23 p. 10 n° 11.4). Cette indication n'est toutefois pas de nature à remettre en question l'appréciation de l'administration qui n'a pas été contestée par l'assuré et qui est en outre confirmée par les formulaires précités. Quoiqu'il en soit, on note que, dans la présente affaire, l'assuré n'aurait pas droit à une rente, même si l'on estimait qu'il avait travaillé en dernier lieu comme livreur et que l'on effectuait une comparaison des revenus avec une réduction maximale de 25% pour des motifs personnels et professionnels (cf. supra consid. 11.1.4). En effet, l'activité de livreur est rattachée au secteur "transports terrestres" (sous-catégorie 60.24A; transports routiers de marchandises; cf. Office fédéral de la statistique [OFS; éd.], nomenclature générale des activités économiques, Berne 2002 p. 142) avec un salaire mensuel moyen en 2008 de Fr. 4'674.- pour 40 h./sem. (niveau de qualification 4) et de Fr. 4'989.50 pour 42.7 h./sem. (horaire usuel dans ce secteur selon les données de l'ESS). Les activités de substitution proposées par l'administration correspondent aux secteurs "Commerce de détail; réparation d'articles domestiques" (Fr. 4'436.- pour 40 h.sem. en 2008), "Services informatiques; services fournis aux entreprise" (Fr. 4'574.- pour 40 h./sem.) et "Activités récréatives, culturelles et sportives" (Fr. 4'185.- pour 40 h./sem.). La moyenne de ces revenus ajustés au temps de travail usuel par semaine en 2008 (resp. 41.7; 41.7; 41.3) et réduite de 25% pour tenir compte des motifs personnels et professionnels se monte à Fr. 3'428.48. Le taux d'invalidité se monterait ainsi à 31.29% ([{4'989.50 - 3'428.48} x 100] : 4'989.50), ce qui est insuffisant pour ouvrir le droit à une rente.</w:t>
      </w:r>
    </w:p>
    <w:p>
      <w:r>
        <w:rPr>
          <w:b/>
        </w:rPr>
        <w:t>E. 12</w:t>
      </w:r>
    </w:p>
    <w:p>
      <w:r>
        <w:t>Au vu de ce qui précède, il appert que la décision entreprise doit être confirmée et le recours rejeté.</w:t>
      </w:r>
    </w:p>
    <w:p>
      <w:r>
        <w:rPr>
          <w:b/>
        </w:rPr>
        <w:t>E. 13</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