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C-5093/2010 vom 26. Oktober 2010</w:t>
      </w:r>
    </w:p>
    <w:p>
      <w:r>
        <w:t>Bundesverwaltungsgericht, 2010-10-26, DE</w:t>
      </w:r>
    </w:p>
    <w:p>
      <w:r>
        <w:rPr>
          <w:b/>
        </w:rPr>
        <w:t xml:space="preserve">Quelle: </w:t>
      </w:r>
      <w:r>
        <w:t>https://mcp.opencaselaw.ch/entscheid/bvger_C-5093_2010</w:t>
      </w:r>
    </w:p>
    <w:p>
      <w:r>
        <w:t>FR: TAF C-5093/2010 du 26 octobre 2010</w:t>
      </w:r>
    </w:p>
    <w:p>
      <w:r>
        <w:t>IT: TAF C-5093/2010 del 26 ottobre 2010</w:t>
      </w:r>
    </w:p>
    <w:p>
      <w:pPr>
        <w:pStyle w:val="Heading2"/>
      </w:pPr>
      <w:r>
        <w:t>Regeste</w:t>
      </w:r>
    </w:p>
    <w:p>
      <w:r>
        <w:t>Rente</w:t>
      </w:r>
    </w:p>
    <w:p>
      <w:pPr>
        <w:pStyle w:val="Heading2"/>
      </w:pPr>
      <w:r>
        <w:t>Erwägungen</w:t>
      </w:r>
    </w:p>
    <w:p>
      <w:r>
        <w:rPr>
          <w:b/>
        </w:rPr>
        <w:t>E. 1</w:t>
      </w:r>
    </w:p>
    <w:p>
      <w:r>
        <w:t>Anfechtungsobjekt ist vorliegend die Einspracheverfügung vom 7. Juni 2010, mit welcher die Vorinstanz das Gesuch um Ausrichtung einer Rente abgewiesen hat.</w:t>
      </w:r>
    </w:p>
    <w:p>
      <w:r>
        <w:rPr>
          <w:b/>
        </w:rPr>
        <w:t>E. 2</w:t>
      </w:r>
    </w:p>
    <w:p>
      <w:r>
        <w:t>Gemäss Art. 31 des Bundesgesetzes vom 17. Juni 2005 über das Bundesverwaltungsgericht (Verwaltungsgerichtsgesetz,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 von Art. 32 vor. Das Bundesverwaltungsgericht ist somit zur Beurteilung der vorliegenden Beschwerde.</w:t>
      </w:r>
    </w:p>
    <w:p>
      <w:r>
        <w:rPr>
          <w:b/>
        </w:rPr>
        <w:t>E. 2.1</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2.2</w:t>
      </w:r>
    </w:p>
    <w:p>
      <w:r>
        <w:t>Der Beschwerdeführer ist durch den angefochtenen Einspracheentscheid berührt und hat ein schutzwürdiges Interesse an dessen Aufhebung oder Änderung, so dass er im Sinne von Art. 59 ATSG beschwerdelegitimiert ist.</w:t>
      </w:r>
    </w:p>
    <w:p>
      <w:r>
        <w:rPr>
          <w:b/>
        </w:rPr>
        <w:t>E. 2.3</w:t>
      </w:r>
    </w:p>
    <w:p>
      <w:r>
        <w:t>Die Beschwerde wurde im Übrigen frist- und formgerecht eingereicht, weshalb auf die Beschwerde einzutreten ist (Art. 52 VwVG, Art. 60 Abs. 1 ATSG).</w:t>
      </w:r>
    </w:p>
    <w:p>
      <w:r>
        <w:rPr>
          <w:b/>
        </w:rPr>
        <w:t>E. 2.4</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Rechtsvorschriften anwendbar, die bei Erfüllung des zu Rechtsfolgen führenden Sachverhalts Geltung haben (BGE 134 V 315 E. 1.2; BGE 130 V 329 E. 2.3).</w:t>
      </w:r>
    </w:p>
    <w:p>
      <w:r>
        <w:rPr>
          <w:b/>
        </w:rPr>
        <w:t>E. 3</w:t>
      </w:r>
    </w:p>
    <w:p>
      <w:r>
        <w:t>Der Beschwerdeführer ist serbischer Staatsangehöriger und lebt dort.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Mazedonien), nicht aber mit Serbien oder mit dem jüngst als Staat anerkannten Kosovo,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eine schweizerische Altersrente sowie der anwendbaren Verfahrensvorschriften von dem in Art. 2 des Abkommens aufgestellten Grundsatz der Gleichstellung abweichen, finden sich weder im Abkommen selbst noch in den seitherigen schweizerisch-jugoslawischen Vereinbarungen.</w:t>
      </w:r>
    </w:p>
    <w:p>
      <w:r>
        <w:rPr>
          <w:b/>
        </w:rPr>
        <w:t>E. 3.1</w:t>
      </w:r>
    </w:p>
    <w:p>
      <w:r>
        <w:t>Vorliegend ist streitig und daher zu prüfen, ob die Vorinstanz das Leistungsbegehren zu Recht abgewiesen hat.</w:t>
      </w:r>
    </w:p>
    <w:p>
      <w:r>
        <w:rPr>
          <w:b/>
        </w:rPr>
        <w:t>E. 3.2</w:t>
      </w:r>
    </w:p>
    <w:p>
      <w:r>
        <w:t>Anspruch auf eine ordentliche Alters- und Hinterlassenenrente haben die rentenberechtigten Personen, denen für mindestens ein volles Jahr Einkommen, Erziehungs- oder Betreuungsgutschriften angerechnet werden können, oder ihre Hinterlassenen (Art. 29 Abs. 1 AHVG).</w:t>
      </w:r>
    </w:p>
    <w:p>
      <w:r>
        <w:rPr>
          <w:b/>
        </w:rPr>
        <w:t>E. 3.3</w:t>
      </w:r>
    </w:p>
    <w:p>
      <w:r>
        <w:t>Ein volles Beitragsjahr liegt gemäss Art. 50 Abs. 1 der Verordnung vom 31. Oktober 1947 über die Alters- und Hinterlassenenversicherung (AHVV, SR 831.101) vor, wenn eine Person insgesamt länger als elf Monate im Sinne von Art. 1a oder 2 AHVG versichert war und während dieser Zeit den Mindestbeitrag bezahlt hat oder Beitragszeiten im Sinne von Art. 29ter Abs. 2 lit. b und c AHVG aufweist. Dabei bestimmt sich die Beitragsdauer einer versicherten Person in der Regel nach den Einträgen in ihren individuellen Konten (Art. 30ter AHVG).</w:t>
      </w:r>
    </w:p>
    <w:p>
      <w:r>
        <w:rPr>
          <w:b/>
        </w:rPr>
        <w:t>E. 3.4</w:t>
      </w:r>
    </w:p>
    <w:p>
      <w:r>
        <w:t>Gemäss individuellem Kontoauszug hat der Beschwerdeführer in der Schweiz von März bis Dezember 1979 gearbeitet und Beiträge an die Alters- und Hinterlassenenversicherung entrichtet. Dies entspricht lediglich einer Beitragszeit von zehn Monaten und berechtigt den Beschwerdeführer nicht zum Bezug einer Rente. Belege, die den Nachweis für eine längere Beitragszeit erbringen, legt der Beschwerdeführer nicht ins Recht. Er macht auch nicht geltend, es gäbe solche oder die Berechnung der Beitragszeit sei falsch.</w:t>
      </w:r>
    </w:p>
    <w:p>
      <w:r>
        <w:rPr>
          <w:b/>
        </w:rPr>
        <w:t>E. 3.5</w:t>
      </w:r>
    </w:p>
    <w:p>
      <w:r>
        <w:t>Die schweizerische Gesetzgebung kennt keine Rechtsgrundlage, die dem Beschwerdeführer das Recht einräumen würde, freiwillige AHV-Beiträge für fehlende Beitragszeiten zu leisten, um damit einen Rentenanspruch zu erwerben.</w:t>
      </w:r>
    </w:p>
    <w:p>
      <w:r>
        <w:rPr>
          <w:b/>
        </w:rPr>
        <w:t>E. 3.6</w:t>
      </w:r>
    </w:p>
    <w:p>
      <w:r>
        <w:t>Die Vorinstanz hat somit den Antrag des Beschwerdeführers auf Gewährung einer Rente mangels Nichterfüllen der Mindestbeitragszeit zu Recht abgewiesen. Die vorliegende Beschwerde ist somit im einzelrichterlichen Verfahren gemäss Art. 23 Abs. 2 VGG in Verbindung mit Art. 85bis Abs. 3 AHVG wegen offensichtlicher Unbegründetheit abzuweisen, und die Einspracheverfügung vom 7. Juni 2010 ist zu bestätigen.</w:t>
      </w:r>
    </w:p>
    <w:p>
      <w:r>
        <w:rPr>
          <w:b/>
        </w:rPr>
        <w:t>E. 4</w:t>
      </w:r>
    </w:p>
    <w:p>
      <w:r>
        <w:t>Das Verfahren ist für die Parteien kostenlos (Art. 85bis Abs. 2 AHVG). Der Beschwerdeführer hat als unterliegende Partei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