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C-5082/2019 vom 26. Februar 2020</w:t>
      </w:r>
    </w:p>
    <w:p>
      <w:r>
        <w:t>Bundesverwaltungsgericht, 2020-02-26, DE</w:t>
      </w:r>
    </w:p>
    <w:p>
      <w:r>
        <w:rPr>
          <w:b/>
        </w:rPr>
        <w:t xml:space="preserve">Quelle: </w:t>
      </w:r>
      <w:r>
        <w:t>https://mcp.opencaselaw.ch/entscheid/bvger_C-5082_2019</w:t>
      </w:r>
    </w:p>
    <w:p>
      <w:r>
        <w:t>FR: TAF C-5082/2019 du 26 février 2020</w:t>
      </w:r>
    </w:p>
    <w:p>
      <w:r>
        <w:t>IT: TAF C-5082/2019 del 26 febbraio 2020</w:t>
      </w:r>
    </w:p>
    <w:p>
      <w:pPr>
        <w:pStyle w:val="Heading2"/>
      </w:pPr>
      <w:r>
        <w:t>Regeste</w:t>
      </w:r>
    </w:p>
    <w:p>
      <w:r>
        <w:t>Rentenanspruch</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VwVG findet das VwVG keine Anwendung in Sozialversicherungssachen, soweit das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Nach der Rechtsprechung stellt das Sozialversicherungsgericht bei der Beurteilung einer Streitsache in der Regel auf den bis zum Zeitpunkt des Erlasses der streitigen Verwaltungsverfügung (hier: 6. September 2019) eingetretenen Sachverhalt ab (BGE 129 V 1 E. 1.2 mit Hinweis).</w:t>
      </w:r>
    </w:p>
    <w:p>
      <w:r>
        <w:rPr>
          <w:b/>
        </w:rPr>
        <w:t>E. 2.3</w:t>
      </w:r>
    </w:p>
    <w:p>
      <w:r>
        <w:t>Weiter sind in zeitlicher Hinsicht grundsätzlich diejenigen Rechtssätze massgebend, die bei der Erfüllung des zu Rechtsfolgen führenden Tatbestandes Geltung hatten (BGE 132 V 220 E. 3.1.1, 131 V 11 E. 1). Deshalb finden Vorschriften Anwendung, die spätestens beim Erlass der Verfügung vom 6. September 2019 in Kraft standen, weiter aber auch Vorschriften, die zu jenem Zeitpunkt bereits in Kraft getreten waren, die aber für die Beurteilung allenfalls früher entstandener Leistungsansprüche von Belang sind.</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w:t>
      </w:r>
    </w:p>
    <w:p>
      <w:r>
        <w:t>Vorliegend zu prüfen ist, ob die Verfügung der Vorinstanz vom 6. September 2019 - wie von den Parteien beantragt - aufzuheben und die Sache zur Wiederaufnahme des Verfahrens an die IVSTA zurückzuweisen ist.</w:t>
      </w:r>
    </w:p>
    <w:p>
      <w:r>
        <w:rPr>
          <w:b/>
        </w:rPr>
        <w:t>E. 3.1.1</w:t>
      </w:r>
    </w:p>
    <w:p>
      <w:r>
        <w:t>Wer Versicherungsleistungen beansprucht, muss unentgeltlich alle Auskünfte erteilen, die zur Abklärung des Anspruchs und zur Festsetzung der Versicherungsleistungen erforderlich sind (Art. 28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Die Verletzung der Auskunfts- oder Mitwirkungspflicht ist nur relevant, wenn sie in unentschuldbarer Weise erfolgt. Es muss sich mithin um eine schuldhafte Verletzung handeln, wobei das Verhalten der Person nicht mehr nachvollziehbar sein darf, was etwa dann gegeben ist, wenn ein Rechtfertigungsgrund nicht einmal ansatzweise erkennbar ist oder wenn das Verhalten schlechthin unverständlich ist (Ueli Kieser, ATSG-Kommentar, 3. Aufl. 2015, Art. 43 Rz. 92).</w:t>
      </w:r>
    </w:p>
    <w:p>
      <w:r>
        <w:rPr>
          <w:b/>
        </w:rPr>
        <w:t>E. 3.1.2</w:t>
      </w:r>
    </w:p>
    <w:p>
      <w:r>
        <w:t>Gemäss Art. 57a Abs. 1 IVG teilt die IV-Stelle der versicherten Person den vorgesehenen Endentscheid über ein Leistungsbegehren oder den Entzug oder die Herabsetzung einer bisher gewährten Leistung mittels Vorbescheid mit. Zwischenentscheide schliessen das Verfahren nicht ab, sondern stellen bloss einen Schritt auf dem Weg zum Endentscheid dar. Zwischenentscheide sind nicht mittels Vorbescheid mitzuteilen (Urs Müller, Das Verwaltungsverfahren in der Invalidenversicherung, Bern, 2010, Rz. 2086). Die versicherte Person hat Anspruch auf rechtliches Gehör im Sinne von Art. 42 ATSG. Der Gehörsanspruch im Rahmen des Vorbescheidverfahrens geht über den verfassungsrechtlichen minimalen Gehörsanspruch hinaus (Ulrich Meyer, Rechtsprechung des Bundesgerichts zum IVG, Zürich 2014, Art. 57a, S. 554 mit Hinweis). Ein Vorbescheid ist auch dann zu erlassen, wenn ein Mahn- und Bedenkzeitverfahren durchgeführt wurde und eine versicherte Person beispielsweise einer angeordneten Begutachtung immer noch nicht Folge leistet und die IV-Stelle den Rentenanspruch gestützt auf die vorhandenen Akten ablehnen will: Der Wortlaut von Art. 57a Abs. 1 IVG ist eindeutig; ein vorgesehener Endentscheid über ein Leistungsbegehren (oder den Entzug oder die Herabsetzung einer bisher gewährten Leistung) ist mit einem Vorbescheid mitzuteilen (Urs Müller, a.a.O., Rz. 2102; Urteil des Bundesgerichts [BGer] 9C_742/2018 vom 18. Dezember 2018 E. 6.3). Sind die Anspruchsvoraussetzungen offensichtlich erfüllt und wird den Begehren der versicherten Person vollumfänglich entsprochen, so können die Leistungen gemäss Art. 74ter Bst. a bis g IVV ohne Erlass eines Vorbescheides oder einer Verfügung zugesprochen oder weiter ausgerichtet werden.</w:t>
      </w:r>
    </w:p>
    <w:p>
      <w:r>
        <w:rPr>
          <w:b/>
        </w:rPr>
        <w:t>E. 3.2</w:t>
      </w:r>
    </w:p>
    <w:p>
      <w:r>
        <w:t>Aus den Akten geht hervor, dass die Vorinstanz den Beschwerdeführer vorliegend mit Schreiben vom 21. Mai 2019 aufgefordert hat, Unterlagen, die zur Prüfung des Leistungsbegehrens notwendig sind, einzureichen. Da der Beschwerdeführer dieser Aufforderung nicht nachgekommen ist, hat ihn die IVSTA mit Einschreiben vom 5. August 2019 gemahnt und darauf hingewiesen, dass nach unbenutzter Frist auf das Gesuch nicht eingetreten würde. Mit diesem Vorgehen hat die Vorinstanz das Mahnverfahren korrekt durchgeführt, was unbestritten ist. Allerdings hätte die Vorinstanz am 6. September 2019 keine Verfügung erlassen dürfen, da sie zuerst noch einen Vorbescheid über den vorgesehenen Entscheid hätte erlassen müssen, zumal es sich dabei um einen Endentscheid betreffend Leistungsbegehren handelt und keine Ausnahme gemäss Art. 74ter IVV vorliegt (vgl. E. 3.1.2 hiervor). Hinzu kommt, dass - wie die Vorinstanz zu Recht eingeräumt hat - zu jenem Zeitpunkt auch die 30-tägige Mahnfrist noch nicht abgelaufen war, sodass auch aus diesem Grund noch kein Entscheid angezeigt war. Ob zudem davon auszugehen ist, dass der Beschwerdeführer - wie er sinngemäss geltend macht - die Mitwirkung nicht in schuldhafter Weise verweigert hat, ist unter diesen Umständen nicht mehr zu prüfen, da die Verfügung bereits aus den genannten Gründen aufzuheben ist. Zusammenfassend ist somit festzuhalten, dass die Beschwerde in dem Sinn gutzuheissen und die angefochtene Verfügung vom 6. September 2019 aufzuheben ist, als die Sache an die IVSTA zur Wiederaufnahme des Verfahrens und anschliessendem Entscheid über das Leistungsbegehren des Beschwerdeführers zurückzuweisen ist.</w:t>
      </w:r>
    </w:p>
    <w:p>
      <w:r>
        <w:rPr>
          <w:b/>
        </w:rPr>
        <w:t>E. 4</w:t>
      </w:r>
    </w:p>
    <w:p>
      <w:r>
        <w:t>Zu befinden bleibt noch über die Verfahrenskosten und eine allfällige Parteientschädigung.</w:t>
      </w:r>
    </w:p>
    <w:p>
      <w:r>
        <w:rPr>
          <w:b/>
        </w:rPr>
        <w:t>E. 4.1</w:t>
      </w:r>
    </w:p>
    <w:p>
      <w:r>
        <w:t>Das Beschwerdeverfahren ist kostenpflichtig. Die Verfahrenskosten sind bei Streitigkeiten um Bewilligung oder Verweigerung von IV-Leistungen nach dem Verfahrensaufwand und unabhängig vom Streitwert im Rahmen von 200-1'000 Franken festzulegen (Art. 69 Abs. 1bis und Abs. 2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Einer unterliegenden Vorinstanz sind keine Kosten aufzuerlegen (vgl. Art. 63 Abs. 2 VwVG). Bei diesem Ausgang des Verfahrens sind dem Beschwerdeführer keine Kosten aufzuerlegen. Der einbezahlte Kostenvorschuss ist dem Beschwerdeführer nach Eintritt der Rechtskraft auf ein von ihm bekannt zu gebendes Konto zurückzuerstatten. Der Vorinstanz sind ebenso wenig 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nicht vertreten, weshalb davon auszugehen ist, dass ihm keine verhältnismässig hohen Kosten entstanden sind. Dem Beschwerdeführer ist somit keine Parteientschädigung zuzusprechen. Die Vorinstanz hat unabhängig vom Verfahrensausgang keinen Anspruch auf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