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C-5080/2014 vom 21. März 2016</w:t>
      </w:r>
    </w:p>
    <w:p>
      <w:r>
        <w:t>Bundesverwaltungsgericht, 2016-03-21, DE</w:t>
      </w:r>
    </w:p>
    <w:p>
      <w:r>
        <w:rPr>
          <w:b/>
        </w:rPr>
        <w:t xml:space="preserve">Quelle: </w:t>
      </w:r>
      <w:r>
        <w:t>https://mcp.opencaselaw.ch/entscheid/bvger_C-5080_2014</w:t>
      </w:r>
    </w:p>
    <w:p>
      <w:r>
        <w:t>FR: TAF C-5080/2014 du 21 mars 2016</w:t>
      </w:r>
    </w:p>
    <w:p>
      <w:r>
        <w:t>IT: TAF C-5080/2014 del 21 marzo 2016</w:t>
      </w:r>
    </w:p>
    <w:p>
      <w:pPr>
        <w:pStyle w:val="Heading2"/>
      </w:pPr>
      <w:r>
        <w:t>Regeste</w:t>
      </w:r>
    </w:p>
    <w:p>
      <w:r>
        <w:t>Einreiseverbot</w:t>
      </w:r>
    </w:p>
    <w:p>
      <w:pPr>
        <w:pStyle w:val="Heading2"/>
      </w:pPr>
      <w:r>
        <w:t>Erwägungen</w:t>
      </w:r>
    </w:p>
    <w:p>
      <w:r>
        <w:rPr>
          <w:b/>
        </w:rPr>
        <w:t>E. 8</w:t>
      </w:r>
    </w:p>
    <w:p>
      <w:r>
        <w:t>Nach dem bisher Gesagten verletzte die Vorinstanz mit dem auf drei Jahre bemessenen Einreiseverbot Bundesrecht (vgl. Art. 49 VwVG). Die Be-schwerde ist teilweise gutzuheissen und das gegen die Beschwerdeführerin verhängte Einreiseverbot auf zwei Jahre - bis zum 12. August 2016 - zu befristen. Soweit sie sich auf den Antrag der Beschwerdeführerin bezüglich Löschung der SIS-Ausschreibung bezieht, ist sie gegenstandslos geworden (vgl. Bst. P). 9.9.1 Die Beschwerdeführerin liess mit ihrer Eingabe vom 11. September 2014 um Gewährung der unentgeltlichen Rechtspflege in Gestalt einer Befreiung von der Pflicht zur Tragung allfälliger Verfahrenskosten ersuchen (Art. 65 Abs. 1 VwVG). 9.2 Gemäss Art. 65 Abs. 1 VwVG wird eine Partei, die nicht über die er­forderlichen Mittel verfügt, auf Antrag hin von der Pflicht zur Bezahlung allfälliger Verfahrenskosten befreit, wenn ihr Begehren im Zeitpunkt der Gesuchseinreichung nicht aussichtslos erscheint. Als bedürftig im Sinne des Gesetzes gelten dabei Personen, die nicht in der Lage sind, für die Prozesskosten aufzukommen, ohne dass sie Mittel be­anspruchen müssten, die zur Deckung des Grundbedarfs für sie und ihre Familie notwendig sind (BGE 128 I 225 E. 2.5.1 S. 232; 127 I 202 E. 3.b S. 205). Die prozessuale Bedürftigkeit beurteilt sich nach der gesam­ten wirtschaftlichen Situation des Rechtssuchenden (BGE 124 I 1 E. 2a S. 2 f. m.H.). Der Nachweis der Bedürftigkeit obliegt der Partei (Ur­teil des BGer 2A.502/2006 vom 4. Januar 2007 E. 4.1). 9.3 Das Begehren der Beschwerdeführerin war nicht aussichtslos und die Bedürftigkeit der Beschwerdeführerin wurde nachgewiesen. Demzufolge ist das Gesuch um Gewährung der unentgeltlichen Prozessführung gutzuheissen. 9.4 Entsprechend dem Ausgang des Verfahrens wären der Beschwerde-führerin grundsätzlich die ermässigten Verfahrenskosten aufzuerlegen (vgl. Art. 63 Abs. 1 VwVG i.V.m. Art. 1, Art. 2 und Art. 3 Bst. b des Reglements vom 21.Februar 2008 über die Kosten und Entschädigungen vor dem Bundesverwaltungsgericht [VGKE, SR 173.320.2]). Aufgrund der Gewährung der unentgeltlichen Verfahrensführung gemäss Art. 65 Abs. 1 VwVG sind vorliegend jedoch keine Kosten zu erheben (vgl. Art. 63 Abs. 1 und Abs. 2 VwVG). 9.5 Ein Anspruch auf eine (gekürzte) Parteientschädigung besteht nicht, da keine verhältnismässig hohen Kosten angefallen sind (vgl. Art. 64 Abs. 1 VwVG i.V.m. Art. 7 Abs. 2 und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