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C-5077/2012 vom 21. Juli 2014</w:t>
      </w:r>
    </w:p>
    <w:p>
      <w:r>
        <w:t>Bundesverwaltungsgericht, 2014-07-21, DE</w:t>
      </w:r>
    </w:p>
    <w:p>
      <w:r>
        <w:rPr>
          <w:b/>
        </w:rPr>
        <w:t xml:space="preserve">Quelle: </w:t>
      </w:r>
      <w:r>
        <w:t>https://mcp.opencaselaw.ch/entscheid/bvger_C-5077_2012</w:t>
      </w:r>
    </w:p>
    <w:p>
      <w:r>
        <w:t>FR: TAF C-5077/2012 du 21 juillet 2014</w:t>
      </w:r>
    </w:p>
    <w:p>
      <w:r>
        <w:t>IT: TAF C-5077/2012 del 21 luglio 2014</w:t>
      </w:r>
    </w:p>
    <w:p>
      <w:pPr>
        <w:pStyle w:val="Heading2"/>
      </w:pPr>
      <w:r>
        <w:t>Regeste</w:t>
      </w:r>
    </w:p>
    <w:p>
      <w:r>
        <w:t>Rentenanspruch</w:t>
      </w:r>
    </w:p>
    <w:p>
      <w:pPr>
        <w:pStyle w:val="Heading2"/>
      </w:pPr>
      <w:r>
        <w:t>Erwägungen</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nach Art. 5 VwVG, sofern - wie vorliegend - keine Ausnahme nach Art. 32 VGG gegeben ist. Als Vor­instanzen gelten die in Art. 33 VGG genannten Behörden. Zu diesen gehört auch die IVSTA, die mit Verfügungen über IV-Leistungsgesuche befindet (vgl. Art. 33 Bst. d VGG;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besonders berührt und hat an deren Änderung oder Aufhebung ein schutzwürdiges Interesse, weshalb auf die im Übrigen form- und fristgerecht eingereichte Beschwerde einzutreten ist (vgl. Art. 59 und 60 ATSG sowie Art. 52 Abs. 1 VwVG und Art. 63 Abs. 4 VwVG).</w:t>
      </w:r>
    </w:p>
    <w:p>
      <w:r>
        <w:rPr>
          <w:b/>
        </w:rPr>
        <w:t>E. 2.1</w:t>
      </w:r>
    </w:p>
    <w:p>
      <w:r>
        <w:t>Der Beschwerdeführer ist französischer Staatsangehöriger und wohnt in Frankreich,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2.1.1</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2.1.2</w:t>
      </w:r>
    </w:p>
    <w:p>
      <w:r>
        <w:t>Mit Blick auf den Verfügungszeitpunkt (28. August 2012)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2.2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w:t>
      </w:r>
    </w:p>
    <w:p>
      <w:r>
        <w:rPr>
          <w:b/>
        </w:rPr>
        <w:t>E. 2.2.1</w:t>
      </w:r>
    </w:p>
    <w:p>
      <w:r>
        <w:t>Damit finden grundsätzlich jene materiellen Rechtsvorschriften Anwendung, die bei Erlass der angefochtenen Verfügung vom 28. August 2012 in Kraft standen; weiter aber auch solche Vorschriften, die zu jenem Zeitpunkt bereits ausser Kraft getreten waren, die aber für die Beurteilung des streitigen Sachverhalts im vorliegend massgebenden Zeitraum von Belang sind (für das IVG: ab dem 1. Januar 2008 in der Fassung vom 6. Oktober 2006 [AS 2007 5129; 5. IV-Revision] sowie in der Fassung vom 18. März 2011 [AS 2011 5659; 6. IV-Re­vision, erstes Massnahmenpaket]; die Verordnung vom 17. Januar 1961 über die Invaliden­versicherung [IVV, SR 831.201] in den entsprechenden Fassungen).</w:t>
      </w:r>
    </w:p>
    <w:p>
      <w:r>
        <w:rPr>
          <w:b/>
        </w:rPr>
        <w:t>E. 2.2.2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3.3</w:t>
      </w:r>
    </w:p>
    <w:p>
      <w:r>
        <w:t>Die Verwaltung als verfügende Instanz und - im Beschwerdefall - das Gericht dürfen eine Tatsache nur dann als bewiesen annehmen, wenn sie von ihrem Bestehen überzeugt sind (Max Kummer, Grundriss des Zivilprozessrechts, 4. Auflage,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Gygi, a.a.O., S. 274; vgl. auch BGE 122 II 469 E. 4a, BGE 120 1b 229 E. 2b, BGE 119 V 344 E. 3c mit Hinweisen).</w:t>
      </w:r>
    </w:p>
    <w:p>
      <w:r>
        <w:rPr>
          <w:b/>
        </w:rPr>
        <w:t>E. 3.4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(vgl. auch E. 4.4.1 hiernach).</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4.1.1</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4.1.2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gewöhnlichen Aufent­halt ausserhalb der Schweiz muss - abgesehen von der vorliegend zutreffenden Ausnahme - der Invaliditätsgrad nach Ablauf der Wartezeit 50% betragen (vgl. Art. 29 Abs. 4 erster Satz IVG in der seit dem 1. Januar 2008 geltenden Fassung).</w:t>
      </w:r>
    </w:p>
    <w:p>
      <w:r>
        <w:rPr>
          <w:b/>
        </w:rPr>
        <w:t>E. 4.2</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4.2.1</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w:t>
      </w:r>
    </w:p>
    <w:p>
      <w:r>
        <w:rPr>
          <w:b/>
        </w:rPr>
        <w:t>E. 4.2.2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4.2.3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w:t>
      </w:r>
    </w:p>
    <w:p>
      <w:r>
        <w:t>Der Beschwerdeführer beantragt für den Zeitraum vom 1. Mai 2010 bis zum 31. Juli 2011 die Ausrichtung einer Dreiviertelsrente und darüber hinaus noch die Weitergewährung mindestens einer Viertelsrente. Unbestritten ist hingegen die Zusprache der befristeten ganzen Rente im Zeitraum vom 1. September 2009 bis zum 30. April 2010.</w:t>
      </w:r>
    </w:p>
    <w:p>
      <w:r>
        <w:rPr>
          <w:b/>
        </w:rPr>
        <w:t>E. 5.1</w:t>
      </w:r>
    </w:p>
    <w:p>
      <w:r>
        <w:t>Die Vorinstanz hat den Entscheid über die rückwirkend abgestufte befristete Rentenzusprache und über einen darüber hinausgehenden Rentenanspruch in zwei Verfügungen vom 28. August 2012 aufgeteilt. Nach der bundesgerichtlichen Rechtsprechung bildet die rückwirkende abgestufte Rentenzusprache ein einheitliches Rechtverhältnis, sodass der Rentenanspruch für die gesamten Bezugszeiten der Überprüfung unterliegen (BGE 125 V 413). Dementsprechend ist es im Fall einer rückwirkenden abgestuften Rentenzusprache grundsätzlich nicht zulässig, für bestimmte Perioden je getrennt zu verfügen (vgl. BGE 131 V 164 E. 2.3 ff.). Die zwei Verfügungen vom 28. August 2012 sind deshalb als Teil ein und derselben Rentenverfügung zu betrachten, welche gleichzeitig das Anfechtungsobjekt bildet (im Folgenden: Verfügung vom 28. August 2012 oder angefochtene Verfügung). Die verschiedenen Perioden mit unterschiedlichem (allfälligem) Rentenanspruch bilden Teilaspekte eines einheitlichen Anspruchs, die nicht durch teilweise Anfechtung auf einen beschränkten Streitgegenstand reduziert werden können (vgl. BGE 125 V 413 E. 2b mit Hinweisen).</w:t>
      </w:r>
    </w:p>
    <w:p>
      <w:r>
        <w:rPr>
          <w:b/>
        </w:rPr>
        <w:t>E. 5.2</w:t>
      </w:r>
    </w:p>
    <w:p>
      <w:r>
        <w:t>Nach dem Gesagten ist somit nicht zwischen einem nicht angefochtenen und damit formell rechtskräftigen Teil (Rentenanspruch ab 1. September 2009 bis 30. April 2010) und einem strittigen Teil (Anspruch auf eine Dreiviertelsrente bzw. allfälliger Rentenanspruch ab 1. August 2011) zu unterscheiden. Streitgegenstand der angefochtenen Verfügung - und somit gerichtlich überprüfbar - ist daher der Rentenanspruch ab 1. September 2009 bis zu deren Erlass am 28. August 2012.</w:t>
      </w:r>
    </w:p>
    <w:p>
      <w:r>
        <w:rPr>
          <w:b/>
        </w:rPr>
        <w:t>E. 5.3</w:t>
      </w:r>
    </w:p>
    <w:p>
      <w:r>
        <w:t>Die Vorinstanz hat zutreffend festgestellt, dass der Beschwerdeführer seit dem 17. Oktober 2007 in seiner angestammten Tätigkeit vorübergehend in unterschiedlichem Ausmass in seiner Leistungsfähigkeit eingeschränkt war, ergibt sich dies doch zunächst aus den Unterlagen der SUVA, die im Zeitraum vom 20. Oktober 2007 bis zum 31. Oktober 2009 für die unfallbedingten Folgen aufkam und Taggelder in der Höhe von 100% (20. Oktober 2007 bis 13. Juli 2008 und 30. März 2009 bis 31. Oktober 2009) bzw. in der Höhe von 70% (14. Juli 2009 bis 29. März 2009) leistete. Während dieser Zeit sind mehrere Versuche, die Arbeitsleistung sukzessive auf 100% zu steigern, jeweils gescheitert und die im Betrieb geleistete Arbeit entsprach infolge schnellen Ermüdens nicht der effektiven ausgewiesenen Präsenzzeit. Per 31. Oktober 2009 erfolgte die Einstellung der Leistungen seitens der SUVA, da die Beschwerden nicht mehr durch Unfallfolgen zu erklären waren (vgl. Dok. 10-10.14, 15, 18, 37.-37.5, 44 sowie 65 S. 1 f.).</w:t>
      </w:r>
    </w:p>
    <w:p>
      <w:r>
        <w:rPr>
          <w:b/>
        </w:rPr>
        <w:t>E. 5.3.1</w:t>
      </w:r>
    </w:p>
    <w:p>
      <w:r>
        <w:t>Danach, d.h. ab dem 1. November 2009, leistete die Z._______ AG im Rahmen der Erwerbsausfallsversicherung zunächst Taggelder in der Höhe von 100%. Ab dem 19. Januar 2010 reduzierte sie jedoch aufgrund der von ihr veranlassten vertrauensärztlichen Untersuchung vom 5. Januar 2010 die Taggeldleistungen auf 50% (vgl. Dok. 66-66.10), weshalb nicht zu beanstanden ist, dass die Vorinstanz ab dem 20. Januar 2010 eine Verbesserung des gesundheitlichen Zustandes festgestellt hat.</w:t>
      </w:r>
    </w:p>
    <w:p>
      <w:r>
        <w:rPr>
          <w:b/>
        </w:rPr>
        <w:t>E. 5.3.2</w:t>
      </w:r>
    </w:p>
    <w:p>
      <w:r>
        <w:t>Die Vorinstanz ist dem Einwand des Beschwerdeführers vom 11. November 2011, wonach hinsichtlich der Arbeitsfähigkeit gemäss bundesgerichtlicher Rechtsprechung echtzeitlichen Dokumenten gegenüber späteren Beurteilungen der Vorrang zu geben sei (vgl. Urteil des BGer 9C_810/2010 vom 16. September 2011, E. 4.2), zu Recht gefolgt, zumal die Beurteilung der Arbeitsfähigkeit der von der Vorinstanz beauftragten Gutachter des ZMB Basel lediglich prospektiv erfolgte und daher an den vorangegangenen (echtzeitlich) dokumentierten Arbeitsfähigkeiten nichts zu ändern vermag (vgl. dazu Dok. 53.2 S. 33 ff.).</w:t>
      </w:r>
    </w:p>
    <w:p>
      <w:r>
        <w:rPr>
          <w:b/>
        </w:rPr>
        <w:t>E. 5.4</w:t>
      </w:r>
    </w:p>
    <w:p>
      <w:r>
        <w:t>Aufgrund des beim ZMB Basel veranlassten interdisziplinären Gutachtens vom 17. Mai 2011 erachtete die Vorinstanz den Beschwerdeführer ab April 2011 in sämtlichen Tätigkeiten zu 100% als arbeitsfähig.</w:t>
      </w:r>
    </w:p>
    <w:p>
      <w:r>
        <w:rPr>
          <w:b/>
        </w:rPr>
        <w:t>E. 5.4.1</w:t>
      </w:r>
    </w:p>
    <w:p>
      <w:r>
        <w:t>Der Beschwerdeführer wurde internistisch, rheumatologisch, neurologisch sowie psychiatrisch begutachtet. Internistisch wurden insbesondere ein Diabetes mellitus Typ II, eine arterielle Hypertonie und eine Hypercholesterinämie bei einem Übergewicht festgestellt. Ebenso wurden ein Morbus Crohn, eine Divertikulose, ein Status nach Arteriitis temporalis Horton 2008, eine Psoriasis vulgaris sowie ein Status nach Appendektomie diagnostiziert. Aus rheumatologischer Sicht wurden ein Status nach Unfall mit Kontusion des Rückens inklusive des Schultergürtels beidseits und der Schultern, muskuläre Dysbalancen im Bereich von Trapezius und Pectoralis beidseits, eine ausgeprägte Berührungsempfindlichkeit, eine Bewegungseinschränkung der ganzen Wirbelsäule sowie ein Status nach Arteriitis temporalis (Horton'sche Krankheit) diagnostiziert. Neurologisch wurden ebenfalls ein Status nach Schulterkontusion links und Rückenkontusion, ein Status nach Arteriitis temporalis sowie des Weiteren ein panvertebrales Schmerzsyndrom und ein Status nach möglichen TIA und ischämischen Ereignissen im Bereich der Capsula interna rechts und des Nucleus caudatus rechts als Befunde erhoben. Aufgrund der psychiatrischen Untersuchung wurden dem Beschwerdeführer schliesslich eine anhaltende somatoforme Schmerzstörung (ICD-10 F45.4) mit einer dissoziativen Störung (ICD-10 F.44.8) sowie histrionisch-akzentuierte Persönlichkeitszüge (ICD-10 Z73.1) attestiert (vgl. Dok. 53.2 S. 13, 17, 21 sowie 26).</w:t>
      </w:r>
    </w:p>
    <w:p>
      <w:r>
        <w:rPr>
          <w:b/>
        </w:rPr>
        <w:t>E. 5.4.2</w:t>
      </w:r>
    </w:p>
    <w:p>
      <w:r>
        <w:t>In der abschliessenden Beurteilung hielten die Gutachter im Wesentlichen fest, dass die somatischen Beschwerden keine Auswirkungen auf die Arbeitsfähigkeit hätten. Klinisch neurologisch fänden sich keine radikulären Ausfälle sowie keine Hinweise auf eine hirnorganische Läsion. Ebenso fänden sich keine Zeichen für die Läsion der peripheren Nerven. Die gemessenen Leitgeschwindigkeiten für den Nervus medianus und Nervus ulnaris distal seien alle im Normbereich. Rheumatologisch liessen sich lediglich die muskulären Dysbalancen objektivieren, die jedoch weder qualitativ noch quantitativ eine Beeinträchtigungen begründen könnten. Für die Überempfindlichkeit sowie die Bewegungseinschränkung der Wirbelsäule des Beschwerdeführers könnten somatisch keine Erklärungen gefunden werden. Die seit dem Austrittsbericht der Rehaklinik Bellikon vom 23. Juli 2008 verstärkte Bewegungseinschränkung widerspreche einem natürlichen Verlauf einer Kontusion des Bewegungsapparates. Vielmehr liege das Hauptproblem eindeutig auf psychosomatischer und psychischer Ebene. Mit Auswirkungen auf die Arbeitsfähigkeit bestehe eine anhaltende somatoforme Schmerzstörung mit Schmerzen im ganzen Rücken-, Schulter- und Nackenbereich, für die sich somatisch keine Ursache finden lasse. In Anwendung der Foerster-Kriterien wäre dem Beschwerdeführer jedoch eine Willensanstrengung zur Überwindung seines psychischen und psychosomatischen Leidens zumutbar, so dass - wie in somatischer Hinsicht - keine Einschränkung der Arbeitsfähigkeit postuliert werden könne (vgl. zum Ganzen Dok. 53.2 S. 13-36).</w:t>
      </w:r>
    </w:p>
    <w:p>
      <w:r>
        <w:rPr>
          <w:b/>
        </w:rPr>
        <w:t>E. 5.5</w:t>
      </w:r>
    </w:p>
    <w:p>
      <w:r>
        <w:t>Das Gutachten des ZMB Basel entspricht den von der Rechtsprechung aufgestellten Kriterien (vgl. E. 4.2.1 hiervor), ist doch das auf allseitigen Untersuchungen beruhende und in Kenntnis der Vorakten abgegebene Gutachten für die streitigen Belange umfassend und begründet in nachvollziehbarer Weise die Einschätzung einer vollen Arbeitsfähigkeit. Die Beschwerdeführer bestreitet dies zu Recht nicht.</w:t>
      </w:r>
    </w:p>
    <w:p>
      <w:r>
        <w:rPr>
          <w:b/>
        </w:rPr>
        <w:t>E. 5.6</w:t>
      </w:r>
    </w:p>
    <w:p>
      <w:r>
        <w:t>Hingegen macht der Beschwerdeführer eine Verschlechterung seines Gesundheitszustandes seit der Begutachtung beim ZMB Basel, die vom 4. bis 8. April 2011 erfolgt ist (vgl. Dok. 53.2 S. 1), geltend. Allerdings hat die Vorinstanz entgegen dem Beschwerdeführer vorliegend nicht gegen den Untersuchungsgrundsatz gemäss Art. 43 Abs. 1 ATSG verstossen. Zwar hat sie von Amtes wegen für die richtige und vollständige Abklärung des rechtserheblichen Sachverhalts zu sorgen, doch gilt dieser Grundsatz nicht uneingeschränkt. Zum einen trifft den Beschwerdeführer eine Mitwirkungspflicht und zum anderen umfasst die behördliche Abklärungspflicht nicht unbesehen alles, was von einer Partei behauptet oder verlangt wird. Vorliegend hat der Beschwerdeführer bloss pauschal behauptet, dass sich sein Gesundheitszustand verschlechtert habe, ohne jedoch dies in irgendeiner Weise zu belegen. Er hat zwar mit Einwand vom 21. Juni 2012 (Dok. 77) ärztliche Dokumente in Aussicht gestellt und entsprechend um eine angemessene Frist gebeten, doch sind zwischen seiner Eingabe und der Verfügung vom 28. August 2012 (Dok. 80) rund zwei Monate vergangen, ohne dass er irgend ein sich zu seinen Beschwerden äusserndes ärztliches Attest eingereicht hat. Dem Beschwerdeführer wäre es in dieser Zeit ohne Weiteres zumutbar gewesen, von sich aus zumindest eine kurze ärztliche Bescheinigung einzureichen. Daher sah sich die Vorinstanz zum damaligen Zeitpunkt zu Recht nicht veranlasst, weitere Abklärungen vorzunehmen (vgl. zum Untersuchungsgrundsatz E. 3.4 hiervor).</w:t>
      </w:r>
    </w:p>
    <w:p>
      <w:r>
        <w:rPr>
          <w:b/>
        </w:rPr>
        <w:t>E. 5.7</w:t>
      </w:r>
    </w:p>
    <w:p>
      <w:r>
        <w:t>Im Rahmen des Beschwerdeverfahrens hat der Beschwerdeführer nun mit Eingabe vom 28. November 2012 (vgl. B-act. 7) und mit Replik vom 27. September 2013 (B-act. 21) entsprechende Dokumente eingereicht, die die Vorinstanz anschliessend dem RAD (Dr. med. B._______) zur Würdigung unterbreitet hat. In seiner Stellungnahme vom 4. Dezember 2013 (vgl. Beilage zur Duplik vom 13. Dezember 2013, B-act. 26) begründet Dr. med. B._______ einlässlich, dass die eingereichten Berichte - soweit sie überhaupt für den beurteilungsrelevanten Zeitraum (vgl. E. 2.2 hiervor) zu berücksichtigen sind (lediglich drei Berichte des Centre Hospitalier de Mulhouse datieren vor dem Verfügungszeitpunkt [24. Mai 2012, 30. Mai 2012 sowie 8. August 2012; vgl. Beilage zur Eingabe vom 28. November 2012, B-act. 7] - nichts an der Beurteilung des ZMB Basel vom 17. Mai 2011 zu ändern vermögen. Insbesondere weist der RAD zu Recht darauf hin, dass die nach wie vor festgestellte Bewegungseinschränkung, die Fibromyalgie sowie der Morbus Crohn im ZMB-Gutachten ausführlich thematisiert wurden und dass die Gutachter deren Einfluss auf die Leistungsfähigkeit einlässlich dargelegt haben. Des Weiteren ist darauf hinzuweisen, dass Diagnosen für sich allein genommen keinen Schluss auf eine gesundheitlich bedingte Einschränkung in der Arbeitsfähigkeit zulassen (vgl. BGE 132 V 65 E. 3.4 mit Hinweisen). Die Berichte geben daher keinen Anlass, eine Verschlechterung des Gesundheitszustandes anzunehmen.</w:t>
      </w:r>
    </w:p>
    <w:p>
      <w:r>
        <w:rPr>
          <w:b/>
        </w:rPr>
        <w:t>E. 5.8</w:t>
      </w:r>
    </w:p>
    <w:p>
      <w:r>
        <w:t>Angesichts der vorstehenden Erwägungen hat die Vorinstanz den medizinischen Sachverhalt im beurteilungsrelevanten Zeitraum korrekt und vollständig ermittelt.</w:t>
      </w:r>
    </w:p>
    <w:p>
      <w:r>
        <w:rPr>
          <w:b/>
        </w:rPr>
        <w:t>E. 6</w:t>
      </w:r>
    </w:p>
    <w:p>
      <w:r>
        <w:t>Vor diesem Hintergrund bleibt noch zu prüfen, ob die Vorinstanz die erwerblichen Auswirkungen der festgestellten gesundheitlichen Beeinträchtigungen für die entsprechenden Zeitabschnitte 1. September 2009 bis 30. April 2010 sowie 1. Mai 2010 bis 31. Juli 2011 korrekt ermittelt hat.</w:t>
      </w:r>
    </w:p>
    <w:p>
      <w:r>
        <w:rPr>
          <w:b/>
        </w:rPr>
        <w:t>E. 6.1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 Massgeblicher Zeitpunkt für den Einkommensvergleich sind die Verhältnisse im Zeitpunkt des (hypothetischen) Beginns des Rentenanspruchs (vgl. BGE 129 V 222 E. 4.1).</w:t>
      </w:r>
    </w:p>
    <w:p>
      <w:r>
        <w:rPr>
          <w:b/>
        </w:rPr>
        <w:t>E. 6.1.1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Urteil des EVG I 517/02 vom 30. Oktober 2002, E. 1.2).</w:t>
      </w:r>
    </w:p>
    <w:p>
      <w:r>
        <w:rPr>
          <w:b/>
        </w:rPr>
        <w:t>E. 6.1.2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w:t>
      </w:r>
    </w:p>
    <w:p>
      <w:r>
        <w:rPr>
          <w:b/>
        </w:rPr>
        <w:t>E. 6.1.3</w:t>
      </w:r>
    </w:p>
    <w:p>
      <w:r>
        <w:t>Der Einkommensvergleich nach Art. 16 ATSG setzt voraus, dass bei der Ermittlung der beiden Vergleichseinkommen gleich vorgegangen wird, dass also eine gleichartige Vergleichsbasis vorliegt (Gleichartigkeit der Vergleichseinkommen, vgl. Kieser, ATSG, Art. 16 Rz. 7). In zeitlicher Hinsicht sind die Verhältnisse bei Entstehen des (hypothetischen) Rentenanspruchs massgebend, wobei Validen- und Invalideneinkommen auf zeitidentischer Grundlage zu erheben und allfällige rentenwirksame Änderungen der Vergleichseinkommen bis zum Verfügungserlass respektive bis zum Einspracheentscheid zu berücksichtigen sind (vgl. BGE 129 V 222 E. 4.1).</w:t>
      </w:r>
    </w:p>
    <w:p>
      <w:r>
        <w:rPr>
          <w:b/>
        </w:rPr>
        <w:t>E. 6.2</w:t>
      </w:r>
    </w:p>
    <w:p>
      <w:r>
        <w:t>Nicht zu beanstanden ist, dass die Vorinstanz betreffend das hypothetische Valideneinkommen auf die Angaben der früheren Arbeitgeberin des Beschwerdeführers abgestellt und daher einen Verdienst von Fr. 85'800.- ermittelt hat, wäre er doch ohne das den Gesundheitsschaden auslösende Unfallereignis mit überwiegender Wahrscheinlichkeit nach wie vor dort tätig (vgl. Dok. 16).</w:t>
      </w:r>
    </w:p>
    <w:p>
      <w:r>
        <w:rPr>
          <w:b/>
        </w:rPr>
        <w:t>E. 6.3</w:t>
      </w:r>
    </w:p>
    <w:p>
      <w:r>
        <w:t>Wie bereits festhalten (vgl. E. 5.3 ff. hiervor sowie Dok. 66.9), hat die Vorinstanz zu Recht gestützt auf die echtzeitlichen Dokumente festgestellt, dass der Beschwerdeführer bis Januar 2010 mindestens im Umfang von 70% arbeitsunfähig gewesen ist (vgl. E. 5.3 ff. hiervor). Aufgrund der konkreten beruflich-erwerblichen Situation - der Beschwerdeführer war während dem betreffenden Zeitraum weiterhin bei der X._______ SA angestellt - entspricht die Erwerbseinbusse zugleich dem Invaliditätsgrad, so dass dieser mindestens 70% beträgt. Die Vorinstanz hat daher dem Beschwerdeführer zu Recht eine ganze IV-Rente zugesprochen. Unter Berücksichtigung des obligaten Wartejahres (vgl. E. 4.1.2 hiervor) sowie des Art. 29 Abs. 1 IVG, wonach der Rentenanspruch frühestens nach Ablauf von sechs Monaten nach Geltendmachung des Leistungsanspruchs entsteht (Gesuch ging am 27. März 2009 ein; vgl. Dok. 2), erweist sich die Rentenzusprache ab dem 1. September 2009 zudem als zutreffend.</w:t>
      </w:r>
    </w:p>
    <w:p>
      <w:r>
        <w:rPr>
          <w:b/>
        </w:rPr>
        <w:t>E. 6.4</w:t>
      </w:r>
    </w:p>
    <w:p>
      <w:r>
        <w:t>Spätestens ab dem 20. Januar 2010 hat sich der Gesundheitszustand des Beschwerdeführers gebessert, indem er sowohl in seiner angestammten Tätigkeit als auch in einer leichten adaptierten Verweisungstätigkeit zu 50% arbeitsfähig war (vgl. E. 5.3 ff. hiervor).</w:t>
      </w:r>
    </w:p>
    <w:p>
      <w:r>
        <w:rPr>
          <w:b/>
        </w:rPr>
        <w:t>E. 6.4.1</w:t>
      </w:r>
    </w:p>
    <w:p>
      <w:r>
        <w:t>Das auf das Jahr 2010 aufindexierte hypothetische Valideneinkommen von Fr. 86'281.- erweist sich als korrekt.</w:t>
      </w:r>
    </w:p>
    <w:p>
      <w:r>
        <w:rPr>
          <w:b/>
        </w:rPr>
        <w:t>E. 6.4.2</w:t>
      </w:r>
    </w:p>
    <w:p>
      <w:r>
        <w:t>Die Vorinstanz hat die Verbesserung des Gesundheitszustandes zu Recht in sinngemässer Anwendung von Art. 88a Abs. 1 IVV (vgl. dazu BGE 109 V 125 E. 4a) ab dem 1. Mai 2010 berücksichtigt. Da der Beschwerdeführer aufgrund der Beendigung des Arbeitsverhältnisses per 31. März 2010 zu diesem Zeitpunkt keiner Erwerbstätigkeit mehr nachging (vgl. Dok. 66.6 S. 2), ist daher nicht zu beanstanden, dass sie zur Ermittlung des hypothetischen Invalideneinkommens auf die Tabellenlöhne der schweizerischen Lohnstrukturerhebung des Bundesamtes für Statistik (LSE) des Jahres 2010 abgestellt hat. Ebenso wenig ist zu bemängeln, dass sie auf den Durchschnittswert des Sektors 10-33 im Anforderungsniveau 3 für Männer abgestellt hat, ist doch der Beschwerdeführer gemäss medizinischer Beurteilung während dieses Zeitraumes in seiner angestammten Tätigkeit zu 50% arbeitsfähig gewesen und verfügt auch über die entsprechenden beruflichen Fachkenntnisse (Schadenminderungspflicht; vgl. dazu E. 4.2 hiervor). So ergibt dies - unter Berücksichtigung einer betriebsüblichen wöchentlichen Arbeitszeit von 41.2 Stunden (vgl. dazu die Volkswirtschaft, Tabelle 9.2, Sektor C) - ein von der Vorinstanz korrekt ermitteltes hypothetisches Invalideneinkommen von Fr. 38'019.- ({[6'152.- x 12] : 40} x 41.2 = 76'038.-; davon 50% = 38'019.-), was vom Beschwerdeführer auch nicht bestritten wird.</w:t>
      </w:r>
    </w:p>
    <w:p>
      <w:r>
        <w:rPr>
          <w:b/>
        </w:rPr>
        <w:t>E. 6.5</w:t>
      </w:r>
    </w:p>
    <w:p>
      <w:r>
        <w:t>Hingegen beanstandet der Beschwerdeführer, dass die Vorinstanz für die betreffende Periode vorliegend keinen leidensbedingten Abzug vorgenommen hat. Diese verneint die Möglichkeit eines leidensbedingten Abzuges in ihrer Vernehmlassung vom 18. Februar 2013, ohne dies jedoch näher zu begründen. Es stellt sich demnach vorliegend die Frage, ob das aufgrund von statistischen Durchschnittswerten ermittelte Invalideneinkommen allenfalls noch durch einen leidensbedingten Abzug herabzusetzen ist.</w:t>
      </w:r>
    </w:p>
    <w:p>
      <w:r>
        <w:rPr>
          <w:b/>
        </w:rPr>
        <w:t>E. 6.5.1</w:t>
      </w:r>
    </w:p>
    <w:p>
      <w:r>
        <w:t>Ob und in welchem Ausmass Tabellenlöhne herabzusetzen sind, hängt von sämtlichen persönlichen und beruflichen Umständen - auch von invaliditätsfremden Faktoren - des konkreten Einzelfalles ab (BGE 129 V 481 E. 4.2.3, mit Hinweisen). Mit dem Abzug soll der Tatsache Rechnung getragen werden, dass persönliche und berufliche Merkmale, wie Art und Ausmass der Behinderung, Lebensalter, Dienstjahre, Nationalität oder Aufenthaltskategorie und Beschäftigungsgrad Auswirkungen auf die Lohnhöhe haben können und dadurch versicherte Personen deswegen ihre Restarbeitsfähigkeit auch auf einem ausgeglichenen Arbeitsmarkt nur mit unterdurchschnittlichem erwerblichem Erfolg zu verwerten in der Lage sind. Die statistischen Löhne können nach der Rechtsprechung um maximal 25% gekürzt werden (vgl. zum Ganzen BGE 126 V 75).</w:t>
      </w:r>
    </w:p>
    <w:p>
      <w:r>
        <w:rPr>
          <w:b/>
        </w:rPr>
        <w:t>E. 6.5.2</w:t>
      </w:r>
    </w:p>
    <w:p>
      <w:r>
        <w:t>Vorliegend wendet der Beschwerdeführer zur Recht ein, dass der Beschwerdeführer im betreffenden Zeitraum nur zu 50% arbeitsfähig war. Entgegen der Vorinstanz rechtfertigt sich daher vorliegend ein leidensbedingter Abzug von 10% aufgrund des bei Männern seit jeher anerkannten Umstands der Lohnreduktion bei Teilzeitarbeit (vgl. Urteil des BGer 9C_721/2010 vom 15. November 2010 E. 4.2).</w:t>
      </w:r>
    </w:p>
    <w:p>
      <w:r>
        <w:rPr>
          <w:b/>
        </w:rPr>
        <w:t>E. 6.6</w:t>
      </w:r>
    </w:p>
    <w:p>
      <w:r>
        <w:t>Nach dem Gesagten reduziert sich das hypothetisch erzielbare jährliche Invalideneinkommen von Fr. 38'019.- um Fr. 3'801.90 ([38'019.- x 10] : 100 = 3'801.90) auf Fr. 34'217.10. Aus der Gegenüberstellung eines hypothetischen Valideneinkommens von jährlich Fr. 86'281.- und eines hypothetischen Invalideneinkommens von Fr. 34'217.10 pro Jahr resultiert bei einer Erwerbseinbusse von Fr. 52'063.9 ein Invaliditätsgrad von gerundet 60% ([52'063.90 x 100] : 86'281.- = 60.34), was entgegen der vorinstanzlichen Feststellung einen Anspruch auf eine Dreiviertelsrente begründet.</w:t>
      </w:r>
    </w:p>
    <w:p>
      <w:r>
        <w:rPr>
          <w:b/>
        </w:rPr>
        <w:t>E. 7</w:t>
      </w:r>
    </w:p>
    <w:p>
      <w:r>
        <w:t>Zusammenfassend ist festzuhalten, dass der Beschwerdeführer insoweit mit seiner Beschwerde obsiegt, als er mit Wirkung ab dem 1. Mai 2010 bis zum 31. Juli 2011 Anspruch auf eine Dreiviertelsrente der Invalidenversicherung hat. Soweit in der Beschwerde vom 26. September 2012 ein Anspruch auf eine Invalidenrente über den 31. Juli 2011 hinaus geltend gemacht wird, ist sie hingegen abzuweisen. Die Akten gehen zurück an die Vorinstanz. Diese ist anzuweisen, eine entsprechende Verfügung zu erlassen, die entsprechenden Rentenbetreffnisse neu zu berechnen und diese unter Berücksichtigung von Art. 26 ATSG rückwirkend auszurichten.</w:t>
      </w:r>
    </w:p>
    <w:p>
      <w:r>
        <w:rPr>
          <w:b/>
        </w:rPr>
        <w:t>E. 8</w:t>
      </w:r>
    </w:p>
    <w:p>
      <w:r>
        <w:t>Zu befinden bleibt noch über die Verfahrenskosten und eine allfällige Parteientschädigung.</w:t>
      </w:r>
    </w:p>
    <w:p>
      <w:r>
        <w:rPr>
          <w:b/>
        </w:rPr>
        <w:t>E. 8.1</w:t>
      </w:r>
    </w:p>
    <w:p>
      <w:r>
        <w:t>Die Verfahrenskosten sind nach Massgabe von Obsiegen und Unter-liegen zu verlegen (Art. 63 Abs. 1 VwVG). Angesichts des Verfahrensausgangs obsiegt der Beschwerdeführer zu einem Fünftel und unterliegt zu vier Fünfteln. Da jedoch der teilweise unterliegenden Vorinstanz keine Verfahrenskosten auferlegt werden (Art. 63 Abs. 2 VwVG) und dem Beschwerdeführer als ebenfalls teilweise unterliegende Partei mit Zwischenverfügung vom 27. Juni 2013 die unentgeltliche Prozessführung gewährt wurde, sind vorliegend keine Verfahrenskosten zu erheben.</w:t>
      </w:r>
    </w:p>
    <w:p>
      <w:r>
        <w:rPr>
          <w:b/>
        </w:rPr>
        <w:t>E. 8.2</w:t>
      </w:r>
    </w:p>
    <w:p>
      <w:r>
        <w:t>Die Beschwerdeinstanz kann der ganz oder teilweise obsiegenden Partei von Amtes wegen oder auf Begehren hin eine Entschädigung für ihr erwachsende notwendige und verhältnismässig hohe Kosten zusprechen (Art. 64 Abs. 1 VwVG). Der anwaltlich vertretene Beschwerdeführer hat gemäss Art. 64 Abs. 1 VwVG in Verbindung mit Art. 7 des Reglements vom 21. Februar 2008 über die Kosten und Entschädigungen vor dem Bundesverwaltungsgericht (VGKE, SR 173.320.2), soweit er obsiegt, Anspruch auf eine reduzierte Parteientschädigung zu Lasten der Vorinstanz.</w:t>
      </w:r>
    </w:p>
    <w:p>
      <w:r>
        <w:rPr>
          <w:b/>
        </w:rPr>
        <w:t>E. 8.3</w:t>
      </w:r>
    </w:p>
    <w:p>
      <w:r>
        <w:t>Der Rechtsvertreter hat keine Kostennote eingereicht, weshalb die Entschädigung aufgrund der Akten festzusetzen ist (vgl. Art. 14 Abs. 2 Satz 2 VGKE). Unter Berücksichtigung des gebotenen und aktenkundigen Aufwandes, der Bedeutung der Streitsache und der Schwierigkeit des vorliegend zu beurteilenden Verfahrens wird das Honorar auf Fr. 2'500.- (inklusive Auslagen, ohne Mehrwertsteuer) festgesetzt. Angesichts des Umstands, dass der Beschwerdeführer etwa zu einem Fünftel obsiegt, hat er einen Anspruch auf eine von der Vorinstanz zu leistende Parteientschädigung von Fr. 500.-. Die Vorinstanz hat gemäss Art. 7 Abs. 3 VGKE keinen Anspruch auf eine Parteientschädigung.</w:t>
      </w:r>
    </w:p>
    <w:p>
      <w:r>
        <w:rPr>
          <w:b/>
        </w:rPr>
        <w:t>E. 8.4</w:t>
      </w:r>
    </w:p>
    <w:p>
      <w:r>
        <w:t>Zufolge Gewährung der unentgeltlichen Rechtspflege ist zudem seinem Rechtsvertreter ein Honorar von Fr. 2'000.- (Fr. 2'500.- abzüglich der Parteientschädigung von Fr. 500.-; inklusive Auslagen, ohne Mehrwertsteuer) aus der Gerichtskasse zu erstatten.</w:t>
      </w:r>
    </w:p>
    <w:p>
      <w:r>
        <w:rPr>
          <w:b/>
        </w:rPr>
        <w:t>E. 8.5</w:t>
      </w:r>
    </w:p>
    <w:p>
      <w:r>
        <w:t>Der Anspruch auf unentgeltliche Rechtspflege garantiert allerdings keine definitive Übernahme der Kosten durch den Staat (BGE 122 I 322 E. 2c). Gelangt der Beschwerdegegner später zu hinreichenden Mitteln, so ist er verpflichtet, dem Bundesverwaltungsgericht Honorar und Kosten seines amtlich bestellten Rechtsvertreters zu vergüten (vgl. Art. 65 Abs. 4 VwVG). Dispositiv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