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C-5068/2015 vom 26. April 2016</w:t>
      </w:r>
    </w:p>
    <w:p>
      <w:r>
        <w:t>Bundesverwaltungsgericht, 2016-04-26, DE</w:t>
      </w:r>
    </w:p>
    <w:p>
      <w:r>
        <w:rPr>
          <w:b/>
        </w:rPr>
        <w:t xml:space="preserve">Quelle: </w:t>
      </w:r>
      <w:r>
        <w:t>https://mcp.opencaselaw.ch/entscheid/bvger_C-5068_2015</w:t>
      </w:r>
    </w:p>
    <w:p>
      <w:r>
        <w:t>FR: TAF C-5068/2015 du 26 avril 2016</w:t>
      </w:r>
    </w:p>
    <w:p>
      <w:r>
        <w:t>IT: TAF C-5068/2015 del 26 aprile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des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legitimiert (Art. 48 Abs. 1 VwVG). Auf die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Gestützt auf Art. 67 AuG kann das SEM gegenüber weggewiesenen ausländischen Personen ein Einreiseverbot verfügen, wenn die Wegweisung nach Art. 64d Abs. 2 Bst. a-c AuG sofort vollstreckt wird oder die betroffene Person der Ausreiseverpflichtung nicht innert Frist nachgekommen ist (Art. 67 Abs. 1 Bst. a und b AuG).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3818). Die Verhängung eines Einreiseverbots knüpft an das Bestehen eines Risikos einer künftigen Gefährdung an. Gestützt auf sämtliche Umstände ist im Einzelfall eine entsprechende Prognose zu stellen. Dabei ist naturgemäss in erster Linie das vergangene Verhalten der betroffenen Person zu berücksichtigen (vgl. Urteil des BVGer C-4898/2012 vom 1. Mai 2014 E. 4.2 m.H.).</w:t>
      </w:r>
    </w:p>
    <w:p>
      <w:r>
        <w:rPr>
          <w:b/>
        </w:rPr>
        <w:t>E. 4.1</w:t>
      </w:r>
    </w:p>
    <w:p>
      <w:r>
        <w:t>Die Vorinstanz wirft der Beschwerdeführerin in ihrer Verfügung vor, sich während mehr als 30 Tagen über den bewilligungsfreien Aufenthalt hinaus illegal im Schengen-Raum aufgehalten zu haben. Damit liege gemäss ständiger Praxis und Rechtsprechung ein ernstzunehmender Verstoss gegen die öffentliche Sicherheit und Ordnung in Sinne von Art. 67 AuG vor.</w:t>
      </w:r>
    </w:p>
    <w:p>
      <w:r>
        <w:rPr>
          <w:b/>
        </w:rPr>
        <w:t>E. 4.2</w:t>
      </w:r>
    </w:p>
    <w:p>
      <w:r>
        <w:t>Die Einreise von Drittstaatangehörigen in das Hoheitsgebiet der Schengen-Staaten für einen Kurzaufenthalt von bis zu drei Monaten je Sechsmonatszeitraum fällt in den persönlichen und sachlichen Anwendungsbereich des Schengen-Rechts (vgl. Art. 6 Abs. 1 der Verordnung [EU] Nr. 2016/399 des Europäischen Parlaments und des Rates vom 9. März 2016 über einen Gemeinschaftskodex für das Überschreiten der Grenzen durch Personen [Schengener Grenzkodex, SGK, Abl. L 77 vom 23. März 2016, S. 1-52], Art. 1 Abs. 1 des Schengener Durchführungsübereinkommens vom 14. Juni 1985 [SDÜ, Abl. L 239 vom 22. September 2000, S. 19-62]), das widersprechendem Landesrecht vorgeht (Art. 2 Abs. 4 AuG). Es vermittelt visumspflichtbefreiten Ausländerinnen und Ausländern, zu denen die Beschwerdeführerin als mexikanische Staatsangehörige gehört (vgl. Art. 1 Abs. 2 i.V.m. Anhang II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336 vom 18. Dezember 2009, S. 1-3 sowie ABl. L 81/1 vom 21. März 2001]), unter anderem das Recht, sich im Hoheitsgebiet der Schengen-Staaten frei zu bewegen, höchstens jedoch drei Monate innerhalb einer Frist von sechs Monaten vom Datum der ersten Einreise an, soweit sie die in Art. 5 Abs. 1 Bst. a, c, d und e SDÜ aufgeführten Einreisevoraussetzungen erfüllen (Art. 20 Abs. 1 SDÜ). Ohne Bedeutung ist hierbei, ob sich der zulässige Höchstaufenthalt von drei Monaten auf einen oder mehrere Aufenthalte verteilt und ob er einen oder mehrere Schengen-Staaten betrifft (vgl. Urteil des BVGer C-3333/2011 vom 19. September 2013 E. 7.1 m.w.H.).</w:t>
      </w:r>
    </w:p>
    <w:p>
      <w:r>
        <w:rPr>
          <w:b/>
        </w:rPr>
        <w:t>E. 4.3</w:t>
      </w:r>
    </w:p>
    <w:p>
      <w:r>
        <w:t>Dagegen werden Aufenthalte von mehr als drei Monaten je Sechsmonatszeitraum und Einreisen zu solchen Aufenthalten vom Schengen-Recht nicht erfasst. Ihre Rechtmässigkeit richtet sich nach dem innerstaatlichen Recht. Einreisen in die Schweiz werden von zusätzlichen Voraussetzungen, namentlich der Einholung eines nationalen Visums, abhängig gemacht (Art. 2 und 5 der Verordnung vom 22. Oktober 2008 über die Einreise und die Visumerteilung [VEV, SR 142.204]). Aufenthalte ausserhalb des vom Schengen-Recht zeitlich gezogenen Rahmens sind der Bewilligungspflicht unterstellt (vgl. Art. 10 AuG i.V.m. Art. 9 VZAE für nicht erwerbstätige Personen und Art. 11 AuG für erwerbstätige Personen). Im zuletzt erwähnten Zusammenhang ist darauf hinzuweisen, dass an den bewilligungsfreien Aufenthalt, den Art. 10 Abs. 1 AuG nicht erwerbstätigen Ausländern zugesteht, Aufenthalte in anderen Schengen-Staaten angerechnet werden (vgl. Ziff. 3.1.1 der Weisungen des SEM zur Aufenthaltsregelung [Stand: 6. Januar 2016], online verfügbar unter: www.sem.admin.ch &gt; Publikationen &amp; Service &gt; Weisungen und Kreisschreiben &gt; I. Ausländerbereich &gt; 3 Aufenthaltsregelung, besucht am 31. März 2016; ferner Philipp Egli/Tobias D. Meyer in: Caroni/Gächter/Thurnherr [Hrsg.], SHK zum Bundesgesetz über die Ausländerinnen und Ausländer, 2010 N 9 zu Art. 10; vgl. Urteil des BVGer C-3333/2011 E. 7.2).</w:t>
      </w:r>
    </w:p>
    <w:p>
      <w:r>
        <w:rPr>
          <w:b/>
        </w:rPr>
        <w:t>E. 4.4</w:t>
      </w:r>
    </w:p>
    <w:p>
      <w:r>
        <w:t>Die Beschwerdeführerin bestreitet nicht, sich über den bewilligungsfreien Aufenthalt hinaus im Schengen-Raum aufgehalten zu haben, macht aber in diesem Zusammenhang geltend, dass sie aufgrund ihres Reisezwecks (Tourismus) als mexikanische Staatsangehörige zu einem visumsfreien Aufenthalt berechtigt gewesen und ferner davon ausgegangen sei, dass die Frist in jedem Schengen-Staat neu zu zählen beginne. Bei der polizeilichen Einvernahme am 29. Juni 2015 wurde festgestellt, dass die Beschwerdeführerin am 7. Januar 2015 in den Schengen-Raum einreiste und der bewilligungsfreie Aufenthalt am 6. April 2015 abgelaufen ist. Somit hat sich die Beschwerdeführerin bei ihrer Anhaltung bereits mehr als 30 Tage widerrechtlich im Schengen-Raum aufgehalten. Vor diesem Hintergrund ist auch das Argument der Beschwerdeführerin irrelevant, dass sie am 8. Mai 2015 von Palma de Mallorca her kommend wieder in die Schweiz eingereist und am 29. Juni 2015 auf dem Weg nach London gewesen sei. In Bezug auf die Verfehlungen, derentwegen die Beschwerdeführerin straf- und ausländerrechtlich belangt wurde,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 wie von der Beschwerdeführerin geltend gemacht -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BVGer C-2438/2014 vom 14. November 2014 E. 5.4. m.H.).</w:t>
      </w:r>
    </w:p>
    <w:p>
      <w:r>
        <w:rPr>
          <w:b/>
        </w:rPr>
        <w:t>E. 4.5</w:t>
      </w:r>
    </w:p>
    <w:p>
      <w:r>
        <w:t>Die Beschwerdeführerin hat mit der nicht unerheblichen Überschreitung des bewilligungsfreien Aufenthaltes im Schengen-Raum den Fernhaltegrund einer Verletzung der öffentlichen Sicherheit und Ordnung im Sinne von Art. 67 Abs. 2 Bst. a AuG gesetzt.</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Die Beschwerdeführerin hielt sich - wie oben ausgeführt - während insgesamt fast drei Monaten rechtswidrig im Schengen-Raum auf. Vorliegend kann somit objektiv nicht von einem leichten Fehlverhalten ausgegangen werden, besteht doch an der Einhaltung von Einreise- und Aufenthaltsvorschriften ein gewichtiges öffentliches Interesse. Dabei liegt insbesondere ein generalpräventiv motiviertes öffentliches Interesse an der Fernhaltung der Beschwerdeführerin vor, dies auch im Sinne einer kontinuierlichen Praxis. Zudem ist eine spezialpräventive Zielsetzung der Mass-nahme darin zu sehen, dass sie die Betroffene ermahnt, bei einer allfälligen künftigen Wiedereinreise in die Schweiz nach Ablauf der Dauer des Einreiseverbots die für sie geltenden Regeln einzuhalten (vgl. Urteil des BVGer C-2771/2010 vom 3. Februar 2012 E. 6.1; vgl. Ziff. 3.1.1 der Weisungen des SEM zur Aufenthaltsregelung, a.a.O.). Es besteht somit ein gewichtiges öffentliches Interesse an einer Fernhaltung der Beschwerdeführerin.</w:t>
      </w:r>
    </w:p>
    <w:p>
      <w:r>
        <w:rPr>
          <w:b/>
        </w:rPr>
        <w:t>E. 5.3</w:t>
      </w:r>
    </w:p>
    <w:p>
      <w:r>
        <w:t>Auch subjektiv gesehen ist das Verhalten der Beschwerdeführerin nicht zu bagatellisieren, hat sie doch durch ihr Verhalten gegen straf- und ausländerrechtliche Bestimmungen verstossen (vgl. Sachverhalt Bst. E). Das öffentliche Interesse an der befristeten Fernhaltung der Beschwerdeführerin lässt sich mit den von ihr geltend gemachten persönlichen und beruflichen Interessen nicht ernsthaft in Frage stellen. Zum einen ist die Fernhaltemassnahme nicht als absolutes Einreiseverbot ausgestaltet. Sie stellt vielmehr ein Einreiseverbot mit Bewilligungsvorbehalt dar. Der Beschwerdeführerin bleibt es freigestellt, aus wichtigen Gründen mittels Gesuch die zeitweilige Suspension der angeordneten Fernhaltemassnahme zu beantragen (Art. 67 Abs. 5 AuG), wobei diese aber praxisgemäss nur für eine kurze und klar begrenzte Zeit gewährt wird (vgl. BVGE 2013/4 E. 7.4.3 m.H.).</w:t>
      </w:r>
    </w:p>
    <w:p>
      <w:r>
        <w:rPr>
          <w:b/>
        </w:rPr>
        <w:t>E. 5.4</w:t>
      </w:r>
    </w:p>
    <w:p>
      <w:r>
        <w:t>Eine Abwägung der gegenläufigen öffentlichen und privaten Interessen führt somit zum Ergebnis, dass das auf ein Jahr befristete Einreiseverbot an der untersten Grenze des in der Praxis Üblichen liegt und das Vorhaben der Beschwerdeführerin, ihren beruflichen Werdegang im Tourismus weiter zu verfolgen, indem sie einen einjährigen Deutschkurs in der Schweiz besuchen möchte, dadurch nicht wesentlich eingeschränkt wird (vgl. Urteil des BVGer C-3823/2014 vom 26. November 2014).</w:t>
      </w:r>
    </w:p>
    <w:p>
      <w:r>
        <w:rPr>
          <w:b/>
        </w:rPr>
        <w:t>E. 6</w:t>
      </w:r>
    </w:p>
    <w:p>
      <w:r>
        <w:t>Die Vorinstanz hat in der angefochtenen Verfügung ferner die Ausschreibung des Einreiseverbots im SIS II angeordnet. Die Beschwerdeführerin ist nicht Bürgerin eines Mitgliedstaates der Europäischen Union. Aufgrund der Ausschreibung im SIS ist es ihr untersagt, den Schengen-Raum zu betreten. Der darin liegende Eingriff wird durch die Aktenlage gerechtfertigt (vgl. Art. 21 i.V.m. Art. 24 der Verordnung [EG] Nr. 1987/2006 vom 20. Dezember 2006 über die Einrichtung, den Betrieb und die Nutzung des Schengener Informationssystems der zweiten Generation [SIS-II], Abl. L 381/4 vom 28. Dezember 2006). Zum einen ist aufgrund des Verhaltens der Beschwerdeführerin - wie oben ausgeführt - von einer Gefährdung der öffentlichen Sicherheit und Ordnung auszugehen, zum anderen hat die Schweiz die Interessen der Gesamtheit aller Schengen-Staaten zu wahren (vgl. BVGE 2011/48 E. 6.2).</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