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C-5066/2012 vom 9. August 2013</w:t>
      </w:r>
    </w:p>
    <w:p>
      <w:r>
        <w:t>Bundesverwaltungsgericht, 2013-08-09, FR</w:t>
      </w:r>
    </w:p>
    <w:p>
      <w:r>
        <w:rPr>
          <w:b/>
        </w:rPr>
        <w:t xml:space="preserve">Quelle: </w:t>
      </w:r>
      <w:r>
        <w:t>https://mcp.opencaselaw.ch/entscheid/bvger_C-5066_2012</w:t>
      </w:r>
    </w:p>
    <w:p>
      <w:r>
        <w:t>FR: TAF C-5066/2012 du 9 août 2013</w:t>
      </w:r>
    </w:p>
    <w:p>
      <w:r>
        <w:t>IT: TAF C-5066/2012 del 9 agosto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 l'art. 27 LEtr, applicable à la présente cause, arrêts du Tribunal fédéral 2D_6/2011 du 16 février 2011 consid. 3 et 2C_802/2010 du 22 octobre 2010 consid. 4 et réf. cit.).</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2011/43 consid. 6.1 et 2011/1 consid. 2 et jurispr. cit.).</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 cit. ; André Grisel, Traité de droit administratif, vol. II, Neuchâtel 1984, p. 947), mais a été déduite de l'art. 66 PA, qui prévoit le droit de demander la révision des décisions, et des art. 8 et 29 al. 2 de la Constitution fédérale de la Confédération suisse du 18 avril 1999 (Cst., RS 101; cf. ATF 127 I 133 consid. 6; arrêt du Tribunal de céans C-3061/2009 du 17 février 2010 consid. 2.1 et jurisprudence citée).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 cit. ; JAAC 67.106 consid. 1 et réf. cit.;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 cit.). 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42 et 109 Ib 246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arrêt du Tribunal de céans C-5375/2008 du 10 mars 2009 consid. 3; Blaise Knapp, Précis de droit administratif, Bâle/Francfort-sur-le-Main 1991, p. 276).</w:t>
      </w:r>
    </w:p>
    <w:p>
      <w:r>
        <w:rPr>
          <w:b/>
        </w:rPr>
        <w:t>E. 3.2</w:t>
      </w:r>
    </w:p>
    <w:p>
      <w:r>
        <w:t>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136 II 177 consid. 2.2.1 et 131 II 329 consid. 3.2; Grisel, op. cit., vol. II, p. 944; Kölz/Häner, op. cit., p. 156ss; Knapp, op. cit., p. 276; Fritz Gygi, Bundesverwaltungsrechtspflege, Berne 1983, p.262s.; Jean-François Poudret, Commentaire de la loi fédérale d'organisation judiciaire, vol. V, Berne 1992, p. 18, 27ss et 32ss).</w:t>
      </w:r>
    </w:p>
    <w:p>
      <w:r>
        <w:rPr>
          <w:b/>
        </w:rPr>
        <w:t>E. 4.1</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jurispr. cit.; Kölz/Häner, op. cit., p. 148ss ; Gygi, op. cit., p. 44ss; Poudret, op. cit., p. 8s., n. 2.2 ; Pierre Moor, Droit administratif, vol. II : Les actes administratifs et leur contrôle, Berne 1991, p. 438, 444 et 446s.).</w:t>
      </w:r>
    </w:p>
    <w:p>
      <w:r>
        <w:rPr>
          <w:b/>
        </w:rPr>
        <w:t>E. 4.2</w:t>
      </w:r>
    </w:p>
    <w:p>
      <w:r>
        <w:t>Dans le cas particulier, l'ODM n'est pas entré en matière sur la demande de réexamen du 28 août 2012 au motif que l'intéressé n'avait allégué aucun fait nouveau important ni aucun changement notable de circonstances. Conformément à la jurisprudence et à la doctrine mentionnées ci-avant, le Tribunal de céans peut donc uniquement examiner, dans le cadre de la présente procédure, si c'est à bon droit que l'autorité inférieure n'est pas entrée en matière sur ladite demande. Partant, la conclusion formulée par le recourant, en tant qu'elle vise à approuver la prolongation de son autorisation de séjour (cf. mémoire de recours, p. 4), n'est point recevable in casu.</w:t>
      </w:r>
    </w:p>
    <w:p>
      <w:r>
        <w:rPr>
          <w:b/>
        </w:rPr>
        <w:t>E. 5.1</w:t>
      </w:r>
    </w:p>
    <w:p>
      <w:r>
        <w:t>Dans la décision querellée du 31 août 2012, l'ODM a estimé que l'intéressé n'avait allégué, à l'appui de sa demande de réexamen, aucun fait nouveau important, ni aucun changement notable de circonstances. Il a justifié son point de vue en précisant que la réussite de l'examen de 1ère année de bachelor en génie de l'environnement, intervenue après la décision dont le réexamen est sollicité, avait déjà été prise en considération par l'ODM pour constater qu'il pourrait terminer ses études au plus tôt en 2014.</w:t>
      </w:r>
    </w:p>
    <w:p>
      <w:r>
        <w:rPr>
          <w:b/>
        </w:rPr>
        <w:t>E. 5.2</w:t>
      </w:r>
    </w:p>
    <w:p>
      <w:r>
        <w:t>A l'examen du dossier, le Tribunal ne saurait partager le point de vue exprimé par l'ODM. En effet, il se doit de constater que le fait invoqué par l'intéressé, à savoir sa réussite aux examens de 1ère année, et dont il n'a eu connaissance qu'après l'échéance du délai pour interjeter un recours contre la décision rendue le 6 juin 2012, constitue bel et bien un fait nouveau, postérieur à cette décision. De même, il est indéniable que la lettre rédigée par la heig-vd, datée du 27 juillet 2012, contient également des éléments nouveaux, qui ne pouvaient être invoqués auparavant, à savoir l'appréciation selon laquelle "après une première année passée dans cette nouvelle orientation, (l'intéressé) démontre ses capacités et la justesse de cette réorientation en réussissant la totalité des modules de première année en obtenant 56 crédits ECTS". De plus, il sied de relever que la lettre rédigée par la heig-vd, datée du 23 août 2012, contient elle aussi des éléments nouveaux, portant notamment sur l'assiduité et le sérieux présentés par l'intéressé à suivre les cours dispensés, les conditions d'acquisition de nouveaux crédits ECTS par la participation à une "HES d'été" ou encore l'adéquation entre les exigences de la nouvelle filière choisie et le potentiel ainsi que les aptitudes de l'intéressé. Tous ces éléments sont importants, soit de nature à influer sur le sort de la cause (cf. consid. 3.2 ci-dessus). C'est à tort que l'ODM a estimé avoir pris en considération, dans la décision rendue le 6 juin 2012, le fait que l'intéressé pourrait réussir sa 1ère année, en mentionnant, à cet effet, que le nouveau terme pourrait intervenir au mieux en 2014. En effet, une telle analyse - outre qu'elle ne convainc pas - ne saurait autoriser l'ODM à refuser d'entrer en matière sur toute nouvelle demande de réexamen, basée sur la production d'éléments nouveaux postérieurs à la décision rendue le 6 juin 2012.</w:t>
      </w:r>
    </w:p>
    <w:p>
      <w:r>
        <w:rPr>
          <w:b/>
        </w:rPr>
        <w:t>E. 5.3</w:t>
      </w:r>
    </w:p>
    <w:p>
      <w:r>
        <w:t>Compte tenu des arguments développés ci-dessus, la décision de non-entrée en matière sur la demande de réexamen du recourant rendue le 31 août 2012, doit être annulée et l'affaire renvoyée à l'ODM afin que cet office examine au fond les éléments invoqués par l'intéressé dans sa requête du 28 août 2012, et instruise la cause pour tenir compte des faits nouveaux survenus depuis lors, à savoir notamment la réussite de l'intéressé à la seconde session d'examens de février 2013.</w:t>
      </w:r>
    </w:p>
    <w:p>
      <w:r>
        <w:rPr>
          <w:b/>
        </w:rPr>
        <w:t>E. 6</w:t>
      </w:r>
    </w:p>
    <w:p>
      <w:r>
        <w:t>Vu l'issue de la cause, il n'est pas perçu de frais de procédure (art. 63 al. 1 [a contrario] à 3 PA). Par ailleurs, il n'est pas alloué de dépens, l'intéressé ayant recouru seul et n'ayant pas démontré avoir eu à supporter des frais indispensables et relativement élevés de ce fait.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