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C-5056/2007 vom 7. August 2009</w:t>
      </w:r>
    </w:p>
    <w:p>
      <w:r>
        <w:t>Bundesverwaltungsgericht, 2009-08-07, FR</w:t>
      </w:r>
    </w:p>
    <w:p>
      <w:r>
        <w:rPr>
          <w:b/>
        </w:rPr>
        <w:t xml:space="preserve">Quelle: </w:t>
      </w:r>
      <w:r>
        <w:t>https://mcp.opencaselaw.ch/entscheid/bvger_C-5056_2007</w:t>
      </w:r>
    </w:p>
    <w:p>
      <w:r>
        <w:t>FR: TAF C-5056/2007 du 7 août 2009</w:t>
      </w:r>
    </w:p>
    <w:p>
      <w:r>
        <w:t>IT: TAF C-5056/2007 del 7 agosto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leur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Du fait de sa nationalité, C._______ est soumise à l'obligation du visa.</w:t>
      </w:r>
    </w:p>
    <w:p>
      <w:r>
        <w:rPr>
          <w:b/>
        </w:rPr>
        <w:t>E. 7.1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7.2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 5 al. 2 LEtr.</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A ce sujet, il faut prendre en considération la qualité de vie et les conditions économiques et sociales difficiles que connaît l'ensemble de la population de la Thaïlande, pays dont le PIB par habitant était de 3166,4 USD en 2008 [source: site internet du Département fédéral des affaires étrangères &gt; Représentation &gt; Asie &gt; Thaïlande; mise à jour: 24 juin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7.5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8</w:t>
      </w:r>
    </w:p>
    <w:p>
      <w:r>
        <w:t>En l'espèce, il ressort des indications du dossier que C._______ est âgée de quarante-six ans, veuve et mère d'un enfant majeur âgé de vingt-sept ans, de sorte qu'elle serait à même de se créer une nouvelle existence hors de Thaïlande sans que cela n'entraîne pour elle de difficultés sur le plan familial. Même si l'invitée possède de la famille et des proches (fils, amis) dans son pays d'origine et s'il convient d'admettre que de tels liens peuvent, dans une certaine mesure, inciter une personne, au terme du séjour envisagé en Suisse, à retourner dans le pays où elle réside, ils ne sauraient, dans le contexte socio-économique dans lequel se trouve la Thaïlande, suffire toutefois, à eux seuls, à garantir le retour de l'intéressée dans cet Etat, cela d'autant moins que les deux soeurs de C._______ vivent en Suisse, où elle dispose ainsi d'un réseau social préexistant, tel que mentionné ci-dessus. Sur un autre plan, force est de constater que sa soeur D._______, qui était venue en Suisse le 29 décembre 2003 avec un visa d'une durée de 90 jours pour rendre visite à son autre soeur B._______, a profité de ce court séjour pour contracter mariage avec un ressortissant Suisse, le 5 mars 2004, soit deux mois et une semaine après son entrée en ce pays et qu'elle demeure depuis lors en Suisse au titre du regroupement familial. Certes, C._______ a indiqué, dans sa demande d'entrée, qu'elle exerçait la profession de vendeuse en alimentation. Le fait que la prénommée est cependant disposée à quitter son travail pendant une période relativement longue (trois mois), démontre toutefois que ces liens professionnels ne sont pas tels qu'ils puissent constituer une garantie de retour dans son pays. Par ailleurs, on ne décèle aucun élément dans le dossier permettant de conclure que la situation matérielle de C._______ se trouverait péjorée si celle-ci quittait son commerce d'alimentation pour occuper un emploi en Suisse. Dans ce contexte et compte tenu du niveau de vie sensiblement plus élevé que présente la Suisse, les autorités helvétiques ne peuvent donc totalement exclure que l'intéressée ne s'efforce, une fois entrée en ce pays, d'obtenir un titre de séjour dans l'espoir d'y trouver, fût-ce de manière temporaire, des conditions d'existence meilleures que celles rencontrées dans son pays d'origine, malgré les assurances contraires qui ont été données dans le cadre du recours. Il ne faut pas perdre de vue en effet que cette différence de niveau de vie peut s'avérer déterminante lorsqu'on prend la décision de quitter sa patrie.</w:t>
      </w:r>
    </w:p>
    <w:p>
      <w:r>
        <w:rPr>
          <w:b/>
        </w:rPr>
        <w:t>E. 9</w:t>
      </w:r>
    </w:p>
    <w:p>
      <w:r>
        <w:t>Cela étant, le désir exprimé par C._______, au demeurant parfaitement compréhensible, de venir en Suisse rendre visite à sa famille ne constitue pas à lui seul un motif justifiant l'octroi d'un visa, à propos duquel elle ne saurait au demeurant se prévaloir d'aucun droit (cf. consid.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de Thaïlande)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arrêt du TAF C-722/2008 du 13 juin 2008 consid. 7) et ne suffisent pas non plus à garantir que son départ interviendra dans les délais prévus.</w:t>
      </w:r>
    </w:p>
    <w:p>
      <w:r>
        <w:rPr>
          <w:b/>
        </w:rPr>
        <w:t>E. 11</w:t>
      </w:r>
    </w:p>
    <w:p>
      <w:r>
        <w:t>Par surabondance, il convient encore de relever qu'un refus d'autorisation d'entrée en Suisse prononcé par les autorités helvétiques n'a pas en l'occurrence pour conséquence d'empêcher C._______ et sa parenté vivant en Suisse de se voir, les intéressés pouvant tout aussi bien se rencontrer hors de Suisse, notamment en Thaïlande, nonobstant les inconvénients d'ordre pratique ou de convenance personnelle que cela pourrait engendrer. Enfin, les recourants ont indiqué que leur invitée souhaitait venir en Suisse pour accompagner sa mère, qui ne peut pas voyager seule car trop âgée. Or, si cette dernière a obtenu ou obtenait un visa pour venir leur rendre visite et ne peut pas se déplacer seule, les recourants peuvent trouver d'autres solutions pour la faire venir en Suisse pour un séjour de visite, comme celle de l'accompagner eux-mêmes lors d'un voyage de retour de Thaïlande.</w:t>
      </w:r>
    </w:p>
    <w:p>
      <w:r>
        <w:rPr>
          <w:b/>
        </w:rPr>
        <w:t>E. 12</w:t>
      </w:r>
    </w:p>
    <w:p>
      <w:r>
        <w:t>Au vu de l'ensemble des circonstances, le TAF estime qu'il ne saurait être reproché à l'ODM d'avoir considéré que le départ de C._______ à l'échéance du visa requis n'était pas suffisamment assuré et, partant, d'avoir refusé la délivrance d'une autorisation d'entrée en Suisse en sa faveur.</w:t>
      </w:r>
    </w:p>
    <w:p>
      <w:r>
        <w:rPr>
          <w:b/>
        </w:rPr>
        <w:t>E. 13</w:t>
      </w:r>
    </w:p>
    <w:p>
      <w:r>
        <w:t>Compte tenu des considérants exposés ci-dessus, il appert que, par sa décision du 16 juillet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