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C-5054/2011 vom 21. Dezember 2011</w:t>
      </w:r>
    </w:p>
    <w:p>
      <w:r>
        <w:t>Bundesverwaltungsgericht, 2011-12-21, FR</w:t>
      </w:r>
    </w:p>
    <w:p>
      <w:r>
        <w:rPr>
          <w:b/>
        </w:rPr>
        <w:t xml:space="preserve">Quelle: </w:t>
      </w:r>
      <w:r>
        <w:t>https://mcp.opencaselaw.ch/entscheid/bvger_C-5054_2011</w:t>
      </w:r>
    </w:p>
    <w:p>
      <w:r>
        <w:t>FR: TAF C-5054/2011 du 21 décembre 2011</w:t>
      </w:r>
    </w:p>
    <w:p>
      <w:r>
        <w:t>IT: TAF C-5054/2011 del 21 dicembre 2011</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 et de survivants.</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l'art. 1 al. 1 LAVS, les dispositions de la LPGA s'appliquent à l'assurance-vieillesse et survivants, à moins que la LAVS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153a al. 1 let. a LAVS rend expressément applicables dans la présente cause l'ALCP et les règlements (CEE) n° 1408/71 du Conseil du 14 juin 1971 et (CEE) n° 574/72 du Conseil du 21 mars 1972 relativement à l'application du règlement (CEE) n° 1408/71.</w:t>
      </w:r>
    </w:p>
    <w:p>
      <w:r>
        <w:rPr>
          <w:b/>
        </w:rPr>
        <w:t>E. 3.1</w:t>
      </w:r>
    </w:p>
    <w:p>
      <w:r>
        <w:t>Conformément aux art. 23 al. 1 et 24 al. 1 LAVS, la veuve qui, au décès de son conjoint, a un ou des enfants (sans qu'un lien de filiation ne soit nécessaire entre le conjoint décédé et les enfants), ou vit en ménage commun avec un ou des enfants recueillis (au sens de l'art. 25 al. 3 LAVS) du conjoint, ou vit en ménage commun avec un ou des enfants recueillis (au sens de l'art. 25 al. 3 LAVS) qui sont adoptés par elle, ou, étant sans enfant, a atteint 45 ans révolus et a été mariée pendant cinq ans au moins, a droit à une rente de veuve. Dans le dernier cas les deux conditions d'âge et de durée de mariage sont cumulatives sans que celle des années de mariage ne doive l'être exclusivement avec le défunt (art. 24 al. 1 2ème phrase LAVS; Michel Valterio, Droit de l'assurance-vieillesse et survivants (AVS) et de l'assurance-invalidité (AI), Zurich 2011 n° 818). La législation ne prévoit pas de dérogations aux conditions du droit à la rente de veuve ni le droit à une autre forme d'indemnité de viduité. Elle ne prévoit pas non plus le transfert de cotisations du défunt à un autre organisme de pensions qui allouerait une rente à la veuve.</w:t>
      </w:r>
    </w:p>
    <w:p>
      <w:r>
        <w:rPr>
          <w:b/>
        </w:rPr>
        <w:t>E. 3.2</w:t>
      </w:r>
    </w:p>
    <w:p>
      <w:r>
        <w:t>En l'espèce, l'intéressée, née le 28 février 1965, avait plus de 45 ans au jour du décès de son conjoint le 18 octobre 2010. Etant mariée depuis le 11 février 2006 le mariage n'a toutefois pas duré au moins cinq ans au jour du décès de son époux. Il s'ensuit que n'ayant pas eu d'enfant de son conjoint, n'ayant pas d'enfant à charge au sens des articles précités et ne remplissant pas les conditions cumulatives d'âge et de durée de status marital avec son conjoint ou d'autres ex-conjoints, elle ne peut prétendre une rente de veuve. Dans ses écritures l'intéressée fait valoir une communauté de vie avec son feu époux depuis 1998. L'allégué n'est toutefois pas déterminant car la LAVS fait dépendre le droit à une rente de veuve de la condition d'un mariage. La LPGA ne prévoit pas de disposition assimilant une communauté de vie durable à un mariage, seul le partenariat enregistré de personnes de même sexe y est assimilé (art. 13a al. 1 LPGA) dans le cadre d'un droit à une rente de veuf que la personne soit de sexe masculin ou féminin (al. 2).</w:t>
      </w:r>
    </w:p>
    <w:p>
      <w:r>
        <w:rPr>
          <w:b/>
        </w:rPr>
        <w:t>E. 4</w:t>
      </w:r>
    </w:p>
    <w:p>
      <w:r>
        <w:t>Manifestement mal fondé le recours doit ainsi être rejeté et la décision attaquée être confirmée dans une procédure à juge unique en application de l'art. 85bis al. 3 LAVS en relation avec l'art. 23 al. 2 LTAF.</w:t>
      </w:r>
    </w:p>
    <w:p>
      <w:r>
        <w:rPr>
          <w:b/>
        </w:rPr>
        <w:t>E. 5</w:t>
      </w:r>
    </w:p>
    <w:p>
      <w:r>
        <w:t>Il n'est pas perçu de frais de procédure (art. 85bis al. 2 LAVS) ni, vue l'issue du recours,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