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C-5053/2008 vom 8. April 2010</w:t>
      </w:r>
    </w:p>
    <w:p>
      <w:r>
        <w:t>Bundesverwaltungsgericht, 2010-04-08, FR</w:t>
      </w:r>
    </w:p>
    <w:p>
      <w:r>
        <w:rPr>
          <w:b/>
        </w:rPr>
        <w:t xml:space="preserve">Quelle: </w:t>
      </w:r>
      <w:r>
        <w:t>https://mcp.opencaselaw.ch/entscheid/bvger_C-5053_2008</w:t>
      </w:r>
    </w:p>
    <w:p>
      <w:r>
        <w:t>FR: TAF C-5053/2008 du 8 avril 2010</w:t>
      </w:r>
    </w:p>
    <w:p>
      <w:r>
        <w:t>IT: TAF C-5053/2008 del 8 aprile 2010</w:t>
      </w:r>
    </w:p>
    <w:p>
      <w:pPr>
        <w:pStyle w:val="Heading2"/>
      </w:pPr>
      <w:r>
        <w:t>Regeste</w:t>
      </w:r>
    </w:p>
    <w:p>
      <w:r>
        <w:t>Assurance-invalidité (AI)</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w:t>
      </w:r>
    </w:p>
    <w:p>
      <w:r>
        <w:rPr>
          <w:b/>
        </w:rPr>
        <w:t>E. 3.2</w:t>
      </w:r>
    </w:p>
    <w:p>
      <w:r>
        <w:t>Comme avant l'entrée en vigueur de l'ALCP, le degré d'invalidité d'un assuré qui prétend une rente de l'assurance-invalidité suisse est déterminé exclusivement d'après le droit suisse (art. 40 par. 4 du Règlement (CEE) n° 1408/71). Il s'en suit que l'octroi d'une rente étrangère d'invalidité ne préjuge pas l'appréciation de l'invalidité selon la loi suisse (Arrêt du Tribunal fédéral I 435/02 consid. 2 du 4 février 2003; Revue à l'intention des caisses de compensation [RCC] 1989 p. 330). En effet,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3.3</w:t>
      </w:r>
    </w:p>
    <w:p>
      <w:r>
        <w:t>La décision litigieuse est datée du 25 juin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le recourant a déposé une demande de prestations AI le 20 juin 2006, se prévalant d'une atteinte à la santé ayant pris naissance en mars 2006. Partant, les dispositions topiques sont donc citées dans le présent arrêt dans leur teneur en vigueur au 31 décembre 2007 (cf. arrêt du Tribunal fédéral 8C-48/2009 du 28 avril 2009 consid. 4).</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w:t>
      </w:r>
    </w:p>
    <w:p>
      <w:r>
        <w:t>En l'espèce, la décision litigieuse se fonde sur l'avis médical des Dresses J._______ et F._______ du SMR qui se réfèrent d'une part au rapport d'examen du 14 mai 2007 du Dr D._______, spécialiste FMH en médecine interne et en rhumatologie au SMR et, d'autre part, sur les déterminations des 1er août 2007 et 25 mars 2008 du médecin traitant du recourant, le Dr E._______.</w:t>
      </w:r>
    </w:p>
    <w:p>
      <w:r>
        <w:rPr>
          <w:b/>
        </w:rPr>
        <w:t>E. 7.1</w:t>
      </w:r>
    </w:p>
    <w:p>
      <w:r>
        <w:t>Il sied de préciser au sujet du rapport du Dr D._______ que dans la mesure où un rapport d'examen émanant d'un SMR répond aux exigences d'une expertise médicale, également en ce qui concerne les qualifications médicales requises (cf. à propos de la qualification professionnelle de l'expert, cf. arrêt du Tribunal fédéral I 779/01 du 16 octobre 2002 consid. 4.1), il revêt une valeur probante comparable à celle d'une autre expertise quand bien même il ne tombe pas sous le coup de l'art. 44 LPGA (ATF 135 V 254 consid. 3.3.2). En l'espèce, le rapport au sens de l'art. 49 al. 2 RAI a été établi par un médecin spécialiste du SMR (le Dr D._______ est rhumatologue) qui avait connaissance de tout le dossier médical pertinent et qui a procédé à un examen personnel du recourant. Cette expertise a donc été menée lege artis et en conformité avec la jurisprudence précitée, en tenant compte de l'anamnèse du recourant, de ses habitudes, de ses plaintes subjectives et d'une observation clinique idoine. Au demeurant le tableau clinique retenu, avec les différents diagnostics, n'est pas contesté par le recourant et aucun indice dans le dossier ne permet de penser qu'il ne serait pas complet. Le Dr D._______ est d'avis, comme la totalité du corps médical consulté, que l'ancienne activité est exclue. Il énumère d'importantes limitations fonctionnelles tant au niveau du rachis, des genoux que de l'abdomen. Il pense néanmoins qu'une activité "strictement" adaptée est exigible à plein temps.</w:t>
      </w:r>
    </w:p>
    <w:p>
      <w:r>
        <w:rPr>
          <w:b/>
        </w:rPr>
        <w:t>E. 7.2</w:t>
      </w:r>
    </w:p>
    <w:p>
      <w:r>
        <w:t>Concernant l'avis médical du Dr E._______, ainsi que le relève l'autorité d'instruction dans sa réponse au recours, il est vrai que la jurisprudence est plutôt encline à considérer avec réserve les avis provenant des thérapeutes traitants, précisément en raison de la relation de confiance qui les unit avec leur patient (cf. ATF 125 V 353 consid. 3b/cc et les réf. cit.; Ulrich Meyer-Blaser, Bundesgesetz über Invalidenversicherung, in: Rechtssprechung des Bundesgerichts zum Sozialversicherungsrecht, Zurich 1997, p. 230). Toutefois cela ne justifie pas d'écarter systématiquement une position médicale sans même l'examiner sous prétexte qu'elle émane d'un médecin connaissant bien son patient. En l'espèce, le Dr E._______ est un généraliste qui ne s'est pas exprimé sur l'aspect orthopédique des atteintes de son patient. Il suit celui-ci pour d'autres affections: troubles du sommeil et troubles anxio-dépressifs. S'agissant de ces derniers, il a néanmoins précisé que l'on ne peut pas qualifier le recourant de dépressif et que de surcroît il n'a jamais jugé utile de consulter un psychiatre. Finalement, le Dr E._______ signale par son diagnostic que le recourant souffre d'hypersomnolence diurne en raison de l'anxyolitique qu'il absorbe quotidiennement et de ses troubles du sommeil. Cela rend bien entendu très difficile la pratique de son activité de charpentier en toiture, la moindre somnolence pouvant provoquer une chute. En revanche, le Dr E._______ n'exclut pas la reprise d'"une activité différente [qui] serait moins dangereuse", sans du tout s'exprimer sur le taux d'occupation possible.</w:t>
      </w:r>
    </w:p>
    <w:p>
      <w:r>
        <w:rPr>
          <w:b/>
        </w:rPr>
        <w:t>E. 7.3</w:t>
      </w:r>
    </w:p>
    <w:p>
      <w:r>
        <w:t>Seul le Dr B._______, le rhumatologue traitant du recourant, se prononce dans un certificat pour le moins lapidaire contre la reprise d'une quelconque activité. Il ne motive pas du tout sa position, se contentant d'écrire dans son attestation du 23 novembre 2007 que "l'état de santé de Monsieur A._______ contre-indique toute activité professionnelle". La Cour de céans, à l'instar de l'autorité inférieure, ne peut accorder aucune valeur probante à un tel document qui revêt plus valeur d'assertion que d'avis médical circonstancié. De surcroît, dans un rapport médical antérieur (du 17 août 2006, pce 9), le Dr B._______ écartait déjà toute idée de reprise de l'activité de charpentier - point corroboré par la totalité des pièces versées au dossier - mais aussi de toute autre activité, motif pris que l'assuré était "difficilement reclassable". Or il ne donnait aucune raison médicale à cela; au contraire, dans le formulaire concernant les capacités professionnelles il indique que la motivation [de l'assuré] pour reprise du travail ou un reclassement professionnel est bonne et que l'absentéisime prévisible dû à l'état de santé ou au traitement médical sera faible. Sa prise de position peut donc s'expliquer par le souci que le recourant ne retrouve, vu son âge, plus de place de travail. Cet argument n'est pas d'ordre médical mais touche à la notion de marché de travail équilibré, laquelle échappe à l'appréciation du médecin (cf. infra consid. 8.1.2)</w:t>
      </w:r>
    </w:p>
    <w:p>
      <w:r>
        <w:rPr>
          <w:b/>
        </w:rPr>
        <w:t>E. 7.4</w:t>
      </w:r>
    </w:p>
    <w:p>
      <w:r>
        <w:t>A l'appui de ses conclusions, le recourant ne produit aucun document médical qui permettrait d'avoir ne serait-ce que des doutes sur la détermination des médecins précités au sujet de sa capacité de travail dans une activité adaptée à ces limitations fonctionnelles. A cet égard, la Cour de céans remarque que le recourant qui était visiblement réadaptable a refusé de collaborer avec le service en charge des mesures d'ordre professionnel. Or, le droit de l'assurance-invalidité est basé sur le principe cardinal (renforcé avec la 5e révision qui ne s'applique pas au cas d'espèce) de la réadapatation avant la rente. En effet, ce n'est que lorsque le but visé par la réadaptation ne peut être atteint que le droit à une rente prend naissance. Cet ordre de priorité des prestations est l'expression de l'obligation générale de réduction du dommage qui contraint l'assuré à entreprendre également de son propre chef tout ce qu'on peut raisonnablement attendre de lui afin d'atténuer autant que possible les conséquences de son invalidité (ATF 130 V 97 consid. 3.2 avec les références). Par ailleurs, aux termes de l'art. 7 al. 1 LAI, l'ayant-droit est tenu de faciliter toutes les mesures prises en vue de sa réadaptation à la vie professionnelle (...) et lorsqu'il ne satisfait pas à cette obligation, les prestations peuvent être réduites ou refusées selon l'art. 21 al. 4 LPGA (...), disposition qui impose une procédure de sommation écrite. Il est vrai qu'en l'espèce l'autorité n'a pas usé de cette prérogative, mais le TAF se plaît à relever cette possibilité pour signifier au recourant que son attitude aurait pu le conduire à essuyer un refus total de rente. Sans compter qu'un stage d'observation aurait sans doute permis de cerner plus précisément sa capacité de travail résiduelle.</w:t>
      </w:r>
    </w:p>
    <w:p>
      <w:r>
        <w:rPr>
          <w:b/>
        </w:rPr>
        <w:t>E. 7.5</w:t>
      </w:r>
    </w:p>
    <w:p>
      <w:r>
        <w:t>Il s'en suit que la Cour de céans ne voit pas de motif de s'écarter de la décision de l'autorité inférieure qui reconnaît le recourant apte à travailler à temps complet dans une activité correspondant à ses limitations fonctionnelles.</w:t>
      </w:r>
    </w:p>
    <w:p>
      <w:r>
        <w:rPr>
          <w:b/>
        </w:rPr>
        <w:t>E. 8</w:t>
      </w:r>
    </w:p>
    <w:p>
      <w:r>
        <w:t>Il convient donc encore d'examiner la perte de gain que le recourant subirait dans l'exercice d'une activité exigible à 100%.</w:t>
      </w:r>
    </w:p>
    <w:p>
      <w:r>
        <w:rPr>
          <w:b/>
        </w:rPr>
        <w:t>E. 8.1.1</w:t>
      </w:r>
    </w:p>
    <w:p>
      <w:r>
        <w:t>L'invalidité dont il convient de rappeler qu'il s'agit d'une notion économique et non médicale est évaluée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(jusqu'au 31 décembre 2002: art 28 al. 2 LAI; du 1er janvier au 31 décembre 2003: art. 1 al. 1 LAI en corrélation avec l'art. 16 LPGA; depuis le 1er janvier 2004: art. 28 al. 2 LAI en corrélation avec l'art. 16 LPGA).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w:t>
      </w:r>
    </w:p>
    <w:p>
      <w:r>
        <w:rPr>
          <w:b/>
        </w:rPr>
        <w:t>E. 8.1.2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(RCC 1991 p. 332 consid. 3b, 1989 p. 331 consid. 4, arrêt du Tribunal fédéral 9C_701/2009 du 1er mars 2010 consid. 3.2.3).</w:t>
      </w:r>
    </w:p>
    <w:p>
      <w:r>
        <w:rPr>
          <w:b/>
        </w:rPr>
        <w:t>E. 8.2.1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w:t>
      </w:r>
    </w:p>
    <w:p>
      <w:r>
        <w:rPr>
          <w:b/>
        </w:rPr>
        <w:t>E. 8.2.2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Des exceptions ne sauraient être admises que si elles sont établies au degré de la vraisemblance prépondérante (ATF 129 V 222 consid. 4.3.1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(ATF 125 V 146 consid. 5c/bb et les arrêts cités); il convient toutefois de renoncer à s'y référer lorsqu'il ressort de l'ensemble des circonstances du cas que l'assuré, sans invalidité, ne se serait pas contenté d'une telle rémunération de manière durable (AJP 2002 1487; RCC 1992 p. 96 consid. 4a).</w:t>
      </w:r>
    </w:p>
    <w:p>
      <w:r>
        <w:rPr>
          <w:b/>
        </w:rPr>
        <w:t>E. 8.2.3</w:t>
      </w:r>
    </w:p>
    <w:p>
      <w:r>
        <w:t>En l'espèce, pour le salaire sans invalidité, l'autorité inférieure se fonde à juste titre, en application de la jurisprudence précitée, sur le revenu que le recourant retirerait dans sa dernière activité en 2007, soit douze mois après l'apparition des atteintes causant l'incapacité (art. 29 al. 1 let. b LAI; ATF 129 V 222, ATF 128 V 174), tel qu'indiqué par son employeur suisse, soit annuellement Fr. 72'501 (Fr. 5'577 x 13; cf pce 25 p. 9).</w:t>
      </w:r>
    </w:p>
    <w:p>
      <w:r>
        <w:rPr>
          <w:b/>
        </w:rPr>
        <w:t>E. 8.2.4</w:t>
      </w:r>
    </w:p>
    <w:p>
      <w:r>
        <w:t>Eu égard à la jurispridence précédemment exposée, le revenu d'invalide doit être fixé selon des valeurs statistiques. Il y a lieu de se rapporter à la valeur médiane ou valeur centrale afférente aux salaires bruts standardisés (ATF 124 V 321 consid 3b/bb). L'autorité d'instruction a établi le revenu d'invalide en référence aux données de l'ESS 2004, puis l'a adapté à la durée hebdomadaire de travail et l'a finalement indexé pour retenir un salaire annuel de Fr. 58'488.-, montant au demeurant non contesté et qu'en conséquence le TAF ne voit pas de raison de modifier.</w:t>
      </w:r>
    </w:p>
    <w:p>
      <w:r>
        <w:rPr>
          <w:b/>
        </w:rPr>
        <w:t>E. 8.2.5</w:t>
      </w:r>
    </w:p>
    <w:p>
      <w:r>
        <w:t>Comme le recours aux salaires de l'ESS ne permet pas une appréciation très fine en fonction des groupes de professions particuliers ou des régions de travail, la jurisprudence permet cependant de réduire le revenu hypothétique d'invalide, tel qu'il résulte des statistiques, afin de tenir compte du fait que les possibilités pour l'assuré de réaliser un gain qui se situe dans la moyenne sont forcément diminuées.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130 V 393 consid. 3.3, ATF 126 V 75 consid. 6, ATF 123 V 150 consid. 2 et les références). En l'espèce, l'OAIE a consenti l'abattement maximal de 25 % sur le revenu d'invalide de l'assurée pour tenir compte de la nécessité d'un travail léger, des limitations fonctionnelles importantes, des années de service (dernier poste depuis 1994) et de son âge. Cette argumentation n'est pas insoutenable, il n'y a donc pas lieu de s'en écarter. Le salaire d'invalide est donc fixé à Fr 43'866.-.</w:t>
      </w:r>
    </w:p>
    <w:p>
      <w:r>
        <w:rPr>
          <w:b/>
        </w:rPr>
        <w:t>E. 8.3</w:t>
      </w:r>
    </w:p>
    <w:p>
      <w:r>
        <w:t>Le calcul comparatif des revenus fait apparaître un préjudice économique de 40 % (Fr. 72'501-43'866 X 100 / 72'501) une fois arrondi au pour-cent supérieur (ATF 130 V 121 consid. 3.2), pour une activité exigible à 100%, ce qui ouvre le droit à un quart de rente.</w:t>
      </w:r>
    </w:p>
    <w:p>
      <w:r>
        <w:rPr>
          <w:b/>
        </w:rPr>
        <w:t>E. 9</w:t>
      </w:r>
    </w:p>
    <w:p>
      <w:r>
        <w:t>Au vu de ce qui précède, le recours du 28 juillet 2008 doit être rejeté et la décision du 25 juin 2008 confirmée.</w:t>
      </w:r>
    </w:p>
    <w:p>
      <w:r>
        <w:rPr>
          <w:b/>
        </w:rPr>
        <w:t>E. 10.1</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w:t>
      </w:r>
    </w:p>
    <w:p>
      <w:r>
        <w:rPr>
          <w:b/>
        </w:rPr>
        <w:t>E. 10.2</w:t>
      </w:r>
    </w:p>
    <w:p>
      <w:r>
        <w:t>Le recourant, qui succombe, doit donc s'acquitter des frais de justice fixés, compte tenu de la charge liée à la procédure, à Fr. 300.-- (art. 63 al. 1 règlement du 21 février 2008 concernant les frais, dépens et indemnités fixés par le Tribunal administratif fédéral [FITAF, RS 173.320.2] et 69 al. 2 LAI). Ils sont compensés par l'avance de frais déjà versée de Fr. 300.--.</w:t>
      </w:r>
    </w:p>
    <w:p>
      <w:r>
        <w:rPr>
          <w:b/>
        </w:rPr>
        <w:t>E. 10.3</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