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C-5050/2010 vom 12. August 2011</w:t>
      </w:r>
    </w:p>
    <w:p>
      <w:r>
        <w:t>Bundesverwaltungsgericht, 2011-08-12, FR</w:t>
      </w:r>
    </w:p>
    <w:p>
      <w:r>
        <w:rPr>
          <w:b/>
        </w:rPr>
        <w:t xml:space="preserve">Quelle: </w:t>
      </w:r>
      <w:r>
        <w:t>https://mcp.opencaselaw.ch/entscheid/bvger_C-5050_2010</w:t>
      </w:r>
    </w:p>
    <w:p>
      <w:r>
        <w:t>FR: TAF C-5050/2010 du 12 août 2011</w:t>
      </w:r>
    </w:p>
    <w:p>
      <w:r>
        <w:t>IT: TAF C-5050/2010 del 12 agosto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12 novembre 2009. En l'espèce, le Tribunal peut se limiter à examiner si le recourant remplissait les conditions d'octroi d'une rente jusqu'au 20 mai 2010,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de nombreuses années notamment dans les services de voieries puis comme manoeuvre dans la construction jusqu'en 2007. Retourné en Espagne, il n'a pas repris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il n'est pas contesté que depuis le 24 décembre 2008 (début de l'hospitalisation) l'intéressé ne peut plus exercer l'activité physiquement exigeante de manoeuvre dans la construction.</w:t>
      </w:r>
    </w:p>
    <w:p>
      <w:r>
        <w:rPr>
          <w:b/>
        </w:rPr>
        <w:t>E. 8.2</w:t>
      </w:r>
    </w:p>
    <w:p>
      <w:r>
        <w:t>Selon le rapport médical E 213 du 21 décembre 2009 l'assuré présente une déficience significative dans son activité antérieure en raison notamment d'hypertension artérielle, d'hépatopathie oenolique en phase de cirrhose hépatique, mais sans que des limitations fonctionnelles importantes ne soient relevées sur le plan rhumatologique. De telles limitations existent cependant dans une certaine mesure selon le rapport médical du 16 octobre 2009 signé du Dr C._______, traumatologie. Ce médecin énonce en effet le diagnostic notamment de cervicarthrose, discopathie C4-C5, ostéophitose antérieure et postérieure et cervicobrachialgies bilatérales, limitation de flexion du ménisque, lombalgie chroniques mécaniques, lomboarthrose, lombosciatique bilatérale, lombarthrose bilatérale L5-S1 et discopathie, arthrose sacro-illiaque bilatérale, coxarthose bilatérale, sclérose acétabulaire. Le rapport E 213 précité mentionne toutefois que l'intéressé - sans limitation rhumatologique clinique énoncée - peut exercer à plein temps une activité légère adaptée. De plus, il ne ressort pas du rapport E 213 et de l'ensemble du dossier des atteintes à la santé permettant de mettre en doute une capacité de travail résiduelle limitée à des travaux légers. Il appert certes du dossier également une cataracte bilatérale dont se prévaut l'intéressé, mais celle-ci est décrite comme traitée et la documentation médicale au dossier ne relève rien de particulier à ce sujet.</w:t>
      </w:r>
    </w:p>
    <w:p>
      <w:r>
        <w:rPr>
          <w:b/>
        </w:rPr>
        <w:t>E. 8.3</w:t>
      </w:r>
    </w:p>
    <w:p>
      <w:r>
        <w:t>Dans son recours l'intéressé n'évoque pas de plaintes ni d'atteintes à la santé déterminantes autres que celles prises en compte dans le dossier. Il évoque la longue liste du Dr C._______ mais ce médecin ne se prononce pas sur la capacité de travail résiduelle de l'intéressé, laquelle est établie par le rapport E 213 dont les conclusions sont reprises par le service médical de l'OAIE qui peuvent être suivies en tous points. Il s'ensuit que la possibilité d'une activité légère adaptée à 100% telle que relevée par le service médical de l'OAIE avec les exemples d'activité - non exhaustifs - proposés par le Dr D._______, doit être confirmée deux mois après l'intervention chirurgicale du 13 février 2009, soit à compter du 13 avril 2009.</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10.1</w:t>
      </w:r>
    </w:p>
    <w:p>
      <w:r>
        <w:t>En l'espèce il y a lieu de procéder à une évaluation de l'invalidité selon la méthode générale par une comparaison de revenus sur la base de l'Enquête suisse sur la structure des salaires 2008 indexée 2009 car il doit être admis que c'est à compter de décembre 2008 que l'intéressé a présenté une incapacité de travail déterminante ouvrant théoriquement le droit à une rente une année plus tard dans la mesure des conditions remplies.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10.2</w:t>
      </w:r>
    </w:p>
    <w:p>
      <w:r>
        <w:t>L'OAIE a retenu, favorablement au recourant, comme base de comparaison sans invalidité, son revenu annuel en 2001, soit Fr. 63'953.- indexé 2008 (: 1902 x 2092: base 1933: 100; Office fédéral de la statistique) à Fr. 70'341.57 ou Fr. 5'861.79 par mois. Indexé 2009 (+ 2.1%) ce montant s'élève à Fr. 5'984.89.</w:t>
      </w:r>
    </w:p>
    <w:p>
      <w:r>
        <w:rPr>
          <w:b/>
        </w:rPr>
        <w:t>E. 10.3</w:t>
      </w:r>
    </w:p>
    <w:p>
      <w:r>
        <w:t>Le salaire après invalidité doit être fixé sur la base des données statistiques résultant de l'Enquête suisse sur les salaires 2008 (table TA1) indexé 2009. En l'occurrence les activités de substitution proposées par le Dr D._______ ainsi que de nombreuses autres activités possibles s'inscrivent dans la détermination du revenu médian toutes branches confondues dans le secteur privé pour des activités simples et répétitives (niveau 4) à 100%, soit Fr. 4'806.- pour 40 h./sem. et Fr. 4'998.24 pour 41.6 h./sem., sous déduction de 20% pour tenir compte de l'âge de l'assuré et de ses restrictions personnelles aux activités légères, soit Fr. 3'998.59.-. Indexé 2009 (+ 2.1%) ce montant s'élève à Fr. 4'082.56. De nombreuses activités d'entre elles peuvent être exercées sans efforts moyennement importants de sorte que ces activités sont adaptées au handicap du recourant qui doit pour l'essentiel préserver son corps de tensions au niveau du ventre et d'efforts au niveau du rachis. De plus, la majeure partie des postes possibles ne nécessite pas de formation particulière autre qu'une mise au courant initiale.</w:t>
      </w:r>
    </w:p>
    <w:p>
      <w:r>
        <w:rPr>
          <w:b/>
        </w:rPr>
        <w:t>E. 10.4</w:t>
      </w:r>
    </w:p>
    <w:p>
      <w:r>
        <w:t>En comparant le salaire avant invalidité de Fr. 5'984.89 avec celui après invalidité de Fr. 4'082.56, on obtient une perte de gain de 31.78% arrondie à 32% ([5'984.89.- 4'082.56] : 5'984.89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12.2</w:t>
      </w:r>
    </w:p>
    <w:p>
      <w:r>
        <w:t>Les frais de procédure, fixés à CHF 400.-, sont mis à la charge du recourant (art. 63 al. 1 PA, applicable par le truchement de l'art. 37 LTAF). Ils sont compensés par l'avance de frais du même montant dont il s'est acquitté au cours de l'instruction.</w:t>
      </w:r>
    </w:p>
    <w:p>
      <w:r>
        <w:rPr>
          <w:b/>
        </w:rPr>
        <w:t>E. 12.3</w:t>
      </w:r>
    </w:p>
    <w:p>
      <w:r>
        <w:t>Vu l'issue du litige, il n'est pas alloué d'indemnité de dépens (art. 7 al. 3 du règlement du 21 février 2008 concernant les frais, dépens et indemnités fixés par le Tribunal administratif fédéral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