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C-5043/2010 vom 15. Februar 2013</w:t>
      </w:r>
    </w:p>
    <w:p>
      <w:r>
        <w:t>Bundesverwaltungsgericht, 2013-02-15, DE</w:t>
      </w:r>
    </w:p>
    <w:p>
      <w:r>
        <w:rPr>
          <w:b/>
        </w:rPr>
        <w:t xml:space="preserve">Quelle: </w:t>
      </w:r>
      <w:r>
        <w:t>https://mcp.opencaselaw.ch/entscheid/bvger_C-5043_2010</w:t>
      </w:r>
    </w:p>
    <w:p>
      <w:r>
        <w:t>FR: TAF C-5043/2010 du 15 février 2013</w:t>
      </w:r>
    </w:p>
    <w:p>
      <w:r>
        <w:t>IT: TAF C-5043/2010 del 15 febbraio 2013</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2011/1 E. 2 S. 4 mit Hinweis).</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135 II 161 E. 2 S. 164 f. mit Hinweisen).</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mit Hinweisen).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(BGE 135 II 161 E. 2 S. 164 f. mit Hinweisen).</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mit Hinweisen).</w:t>
      </w:r>
    </w:p>
    <w:p>
      <w:r>
        <w:rPr>
          <w:b/>
        </w:rPr>
        <w:t>E. 4.2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5.1</w:t>
      </w:r>
    </w:p>
    <w:p>
      <w:r>
        <w:t>Gemäss der hier anwendbaren, bis zum 28. Februar 2011 gültig gewesenen ursprünglichen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5.2</w:t>
      </w:r>
    </w:p>
    <w:p>
      <w:r>
        <w:t>Die formellen Voraussetzungen für eine Nichtigerklärung sind vorliegend erfüllt. Die erleichterte Einbürgerung wurde mit Zustimmung des Heimatkantons Luzern innert fünf Jahren nach ihrer Anordnung für nichtig erklärt.</w:t>
      </w:r>
    </w:p>
    <w:p>
      <w:r>
        <w:rPr>
          <w:b/>
        </w:rPr>
        <w:t>E. 6</w:t>
      </w:r>
    </w:p>
    <w:p>
      <w:r>
        <w:t>Die Vorinstanz führt in ihrer Vernehmlassung vom 14. Oktober 2010 u.a. aus, die Nichtigerklärung der erleichterten Einbürgerung des Beschwerdeführers könne nicht allein damit begründet werden, dass er kurz nach seiner Einbürgerung straffällig geworden ist. Diesbezüglich gilt es vorab klarzustellen, dass die Straffälligkeit des Beschwerdeführers überhaupt nicht als Grund für die Nichtigerklärung herangezogen werden kann. Gemäss Urteil des Bezirksgerichts Zürich vom 18. Januar 2010 beging der Beschwerdeführer nachweislich erst ab Mai 2006 strafbare Handlungen und somit elf Monate nach der erleichterten Einbürgerung. Von der ihm in der Anklageschrift vorgeworfenen Beteiligung an der versuchten Kokaineinfuhr vom Juni 2005 und dem ihm ebenfalls für die Jahre vor der Einbürgerung vorgeworfenen Verkauf und Absatz von Kokain wurde er freigesprochen (der diesbezüglich eingeklagte Sachverhalt liess sich nicht erstellen). Für die Berücksichtigung strafbarer Handlungen, die nach der erleichterten Einbürgerung begangen werden, gibt es in Bezug auf die Nichtigerklärung daher keine gesetzliche Grundlage.</w:t>
      </w:r>
    </w:p>
    <w:p>
      <w:r>
        <w:rPr>
          <w:b/>
        </w:rPr>
        <w:t>E. 7.1</w:t>
      </w:r>
    </w:p>
    <w:p>
      <w:r>
        <w:t>Die Vorinstanz gelangt in der angefochtenen Verfügung im Wesentlichen gestützt auf den zeitlichen Ereignisablauf zur Überzeugung, die Ehegatten hätten zum Zeitpunkt der erleichterten Einbürgerung nicht mehr in einer stabilen ehelichen Gemeinschaft gelebt. Genau in dem Moment, als er die Schweiz wegen der Abweisung seines Asylgesuchs hätte verlassen müssen, habe er eine Schweizerin geheiratet. Sein Einbürgerungsgesuch habe er rund ein Jahr zu früh gestellt, was auch zeige, wie schnell er das Schweizer Bürgerrecht habe erwerben wollen. Kaum eingebürgert, habe er sich mehrheitlich im Ausland aufgehalten und sich nicht mehr um seine Ehefrau gekümmert. Etwas weniger als ein Jahr nach der Einbürgerung sei die Trennung vereinbart worden, ein gutes halbes Jahr später sei die Scheidung erfolgt. Während die Aussagen des Beschwerdeführers zum Scheitern der Ehe widersprüchlich seien, würden die Angaben der Ex-Ehefrau im gesamten Kontext wesentlich glaubhafter erscheinen.</w:t>
      </w:r>
    </w:p>
    <w:p>
      <w:r>
        <w:rPr>
          <w:b/>
        </w:rPr>
        <w:t>E. 7.2</w:t>
      </w:r>
    </w:p>
    <w:p>
      <w:r>
        <w:t>Der Beschwerdeführer seinerseits wendet in seiner Rechtsmitteleingabe vom 12. Juli 2010 ein, während des Einbürgerungsverfahrens sei bei beiden Ehegatten der Wille vorhanden gewesen, die Ehe auch in Zukunft aufrecht zu erhalten. So habe auch die Ex-Ehefrau ausgeführt, dass die Ehe harmonisch verlaufen sei und sich der Beschwerdeführer mit ihrem Sohn aus erster Ehe gut verstanden habe. Erst nach der Einbürgerung seien Probleme in der Ehe entstanden. Dass die Ex-Ehefrau bereits im Jahre 2004 Trennungsgedanken gehabt habe und es zu einem Ehestreit mit Gewaltanwendung gekommen sei, treffe nicht zu. So hätten sie noch im Jahre 2004 gemeinsam versucht, die vom Beschwerdeführer gegründete Firma (Schmuckverkauf) "zum Laufen zu bringen". Bestritten werde auch, dass es zur Trennung gekommen sei, weil der Beschwerdeführer angeblich kaum zu Hause gewesen sei und seinen Stiefsohn psychisch terrorisiert habe. Zudem sei er im Jahre 2005 nur einmal (für eine Woche) im Ausland gewesen, um seine kranke Mutter in Nigeria zu besuchen. Es sei davon auszugehen, dass die Ex-Ehefrau im Nachhinein belastende Aussagen in Bezug auf den Beschwerdeführer gemacht habe, weil sie von ihm und der zerbrochenen Ehe enttäuscht gewesen sei und es nach der Scheidung zu Streitereien über Unterhaltsbeiträge gekommen sei. Die Zerrüttung der Ehe habe erst nach der Einbürgerung begonnen, als die Ex-Ehefrau angefangen habe, unbegründete Eifersucht zu zeigen. Obwohl der Beschwerdeführer seine Frau noch immer geliebt habe, habe er ihrem Trennungswunsch zugestimmt, weil sie mit Suizid gedroht habe und er um ihre Gesundheit besorgt gewesen sei. Insgesamt würden die Aussagen der Ex-Ehefrau erhebliche Widersprüche und Unwahrheiten enthalten. Es sei nicht nachvollziehbar, weshalb die Vorinstanz diesen Aussagen mehr Glauben schenke als den Aussagen des Beschwerdeführers.</w:t>
      </w:r>
    </w:p>
    <w:p>
      <w:r>
        <w:rPr>
          <w:b/>
        </w:rPr>
        <w:t>E. 8.1</w:t>
      </w:r>
    </w:p>
    <w:p>
      <w:r>
        <w:t>Aus den Akten ergibt sich, dass der Beschwerdeführer nach einem erfolglos durchlaufenen Asylverfahren im Juli 1999 eine Schweizer Bürgerin heiratete, welche er im September 1998 kennengelernt hatte. Irgendwann im Frühjahr 1999 haben sie sich zur Heirat entschlossen, wobei der Anstoss vom Beschwerdeführer ausgegangen sein soll. Am 6. Juni 2002 reichten die Ehegatten beim Bezirksgericht Dielsdorf ein Begehren auf Ehetrennung ein und erwähnten dabei, dass sie ab 1. Juli 2002 getrennt wohnen würden. Am 29. Juli 2002 teilten sie dem Bezirksgericht mit, dass sie sich in der Zwischenzeit versöhnt hätten, und zogen das Begehren auf Ehetrennung zurück (vgl. Abschreibungsverfügung des Bezirksgerichts Dielsdorf vom 30. Juli 2002). Noch vor dem Rückzug des Begehrens auf Ehetrennung reichte der Beschwerdeführer am 10. Juli 2002 ein Gesuch um erleichterte Einbürgerung ein, welches mangels Erfüllung der zeitlichen Voraussetzungen (vgl. Ziff. B vorstehend) vom BFM bis zum 22. April 2003 nicht behandelt wurde. Nachdem die Ehegatten am 20. Mai 2005 die gemeinsame Erklärung zum Bestand der ehelichen Gemeinschaft abgegeben hatten (die Ehe soll damals stabil gewesen sein), wurde der Beschwerdeführer am 21. Juni 2005 erleichtert eingebürgert. Gemäss Angaben des Beschwerdeführers trennten sich die Ehegatten dann im Sommer 2006. Das gemeinsam unterzeichnete Scheidungsbegehren datiert vom 1. Juni bzw. 14. August 2006 und führte am 18. Dezember 2006 zum Scheidungsurteil (in Rechtskraft seit 7. Februar 2007).</w:t>
      </w:r>
    </w:p>
    <w:p>
      <w:r>
        <w:rPr>
          <w:b/>
        </w:rPr>
        <w:t>E. 8.2</w:t>
      </w:r>
    </w:p>
    <w:p>
      <w:r>
        <w:t>Der geschilderte Sachverhalt zeigt auf, dass sich der Beschwerdeführer nur mittels Heirat einer Schweizer Bürgerin einen geregelten Aufenthalt verschaffen konnte. Dieser Umstand begründet im Zusammenhang mit der chronologischen Abfolge der Ereignisse (Trennung bzw. Scheidungsbegehren knapp zwölf Monate nach der erleichterten Einbürgerung und die anschliessende Scheidung) ohne Zweifel die Vermutung, der Beschwerdeführer habe bereits zum Zeitpunkt der erleichterten Einbürgerung nicht mehr in einer stabilen, intakten und auf die Zukunft gerichteten ehelichen Gemeinschaft gelebt. Die fragliche, auf der Chronologie der Ereignisse basierende Einschätzung gilt hier unabhängig von den (teilweise belastenden) Ausführungen zum Zustand der Ehe, welche die Ex-Ehefrau in ihrer Stellungnahme vom 26. April 2010 in das vorinstanzliche Verfahren einbrachte (vgl. dazu Urteil des BVGer C 4178/2009 vom 15. März 2012 E. 7.2 mit Hinweis). Insoweit hilft es dem Beschwerdeführer wenig, wenn er die Glaubhaftigkeit bzw. den Beweiswert ihrer Angaben in Frage zu stellen versucht (im Einzelnen vgl. insbesondere E. 9.1 und 9.2 hiernach). Die besagte Vermutung wird durch weitere Indizien, auf welche im Folgenden noch einzugehen ist, bestärkt.</w:t>
      </w:r>
    </w:p>
    <w:p>
      <w:r>
        <w:rPr>
          <w:b/>
        </w:rPr>
        <w:t>E. 8.3</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oder nachvollziehbar erscheinen lassen, dass eine angeblich noch wenige Monate zuvor bestehende tatsächliche, ungetrennte eheliche Gemeinschaft in der Zwischenzeit dergestalt in die Brüche gegangen ist, dass es zur Scheidung kam (vgl. BGE 130 II 482 E. 3.2 S. 486). Dementsprechend stellt sich die Frage, ob die vom Beschwerdeführer vorgebrachten Argumente geeignet sind, die eben beschriebene tatsächliche Vermutung umzustossen.</w:t>
      </w:r>
    </w:p>
    <w:p>
      <w:r>
        <w:rPr>
          <w:b/>
        </w:rPr>
        <w:t>E. 9</w:t>
      </w:r>
    </w:p>
    <w:p>
      <w:r>
        <w:t>Der Beschwerdeführer bestreitet, die Behörden im massgeblichen Zeitraum über den Zustand der Ehe getäuscht zu haben. Während des Einbürgerungsverfahrens sei bei beiden Ehegatten der Wille vorhanden gewesen, die Ehe auch in Zukunft aufrecht zu erhalten. Erst im Sommer 2006 seien erhebliche Probleme zwischen den Ehegatten entstanden, welche dann zur Trennung geführt hätten. Die gegenteilige Vermutung der Vorinstanz gründe auf unzulässigen und willkürlichen Annahmen ohne Berücksichtigung des objektiven Sachverhalts bzw. in Missachtung der konkreten und aktenkundigen Begebenheiten. Während die Aussagen der Ex-Ehefrau erhebliche Widersprüche und Unwahrheiten enthielten, seien die Ausführungen des Beschwerdeführers demgegenüber kohärent und glaubhaft.</w:t>
      </w:r>
    </w:p>
    <w:p>
      <w:r>
        <w:rPr>
          <w:b/>
        </w:rPr>
        <w:t>E. 9.1</w:t>
      </w:r>
    </w:p>
    <w:p>
      <w:r>
        <w:t>Dass es erst im Sommer 2006 zu erheblichen Problemen zwischen den Ehegatten gekommen ist, trifft erwiesenermassen nicht zu. Dies ergibt sich bereits aus dem im Jahre 2002 eingeleiteten Trennungsverfahren, wobei damals schon von separaten Wohnadressen gesprochen wurde (vgl. das entsprechende Begehren auf Ehetrennung vom 6. Juni 2002). Rückwirkend betrachtet, liegt es auf der Hand, dass ein massgeblicher Grund für den Rückzug dieses Bergehrens Ende Juli 2002 das kurz zuvor (am 10. Juli 2002) eingereichte Gesuch um erleichterte Einbürgerung war, notabene zu einem Zeitpunkt, als der Beschwerdeführer die zeitlichen Voraussetzungen noch gar nicht erfüllte. Gravierende Eheprobleme gab es demnach schon vor dem Sommer 2006. Dass dies vom Beschwerdeführer verschwiegen wurde, machen seine Ausführungen insgesamt unglaubhaft bzw. bewirken, dass die Angaben der Ex-Ehefrau - insbesondere der von ihr geschilderte Ehestreit mit Gewaltanwendung im Jahre 2004 und ihre dabei schon geäusserten Trennung- und Scheidungsabsichten - glaubhafter erscheinen. Hinzu kommen die widersprüchlichen Angaben des Beschwerdeführers zum Trennungsgrund. So soll zunächst die HIV-Infektion der Ehefrau und die sich verschlechternde Beziehung zu deren Sohn der Auslöser für die Trennung gewesen sein (vgl. Schreiben vom 4. Juli 2009). In seiner Stellungnahme vom 29. Juli 2009 widerrief er diese Ausführungen und gab nun an, die Eifersucht seiner Ehefrau habe zum Scheitern der Ehe geführt. Der Versuch des Beschwerdeführers, diesen Widerspruch richtig zu stellen, weil sein Vertreter ihn bei einer früheren Besprechung missverstanden habe, ist als nachgeschobene Schutzbehauptung zu qualifizieren. Denn es ist unwahrscheinlich, dass in einem für das vorliegende Verfahren zentralen Punkt nicht von Anfang an der eigentliche Grund für die Trennung der Ehegatten unmissverständlich dargelegt werden kann.</w:t>
      </w:r>
    </w:p>
    <w:p>
      <w:r>
        <w:rPr>
          <w:b/>
        </w:rPr>
        <w:t>E. 9.2</w:t>
      </w:r>
    </w:p>
    <w:p>
      <w:r>
        <w:t>Bei den von der Ex-Ehefrau in ihrer Eingabe vom 26. April 2010 geschilderten Gründen der Trennung (Beginn der "gröberen" Probleme im Jahre 2004 mit der bereits erwähnten massiven Ausseinandersetzung, keine geregelte Arbeitszeit des Beschwerdeführers und dessen unruhiger Lebenswandel) handelt es sich ferner nicht um Umstände, die innert kurzer Zeit nach der Einbürgerung aufgetreten sein können und folglich zur Zerrüttung der Ehe führten. Vielmehr weisen diese Gründe darauf hin, dass die Eheprobleme schon seit längerer Zeit bestanden haben. Auch wenn die Beweggründe der Ex-Ehefrau zur Trennung vom Beschwerdeführer grösstenteils bestritten bzw. anders dargestellt werden, kann nach der allgemeinen Lebenserfahrung davon ausgegangen werden, dass der Entschluss eines Ehepartners zur Trennung und deren gerichtlichen Regelung bzw. zur Scheidung - ohne Vorliegen eines ausserordentlichen Ereignisses und bei einer bis anhin glücklichen Ehe - nicht plötzlich gefällt wird, sondern vielmehr den Endpunkt eines längeren Zerrüttungsprozesses in einer Beziehung darstellt. Da in casu das Scheidungsbegehren vom 1. Juni 2006 datiert, müssen die für die definitive Trennung massgeblichen ehelichen Probleme - entgegen den Vorbringen des Beschwerdeführers (Sommer 2006) - viel früher begonnen haben.</w:t>
      </w:r>
    </w:p>
    <w:p>
      <w:r>
        <w:rPr>
          <w:b/>
        </w:rPr>
        <w:t>E. 9.3</w:t>
      </w:r>
    </w:p>
    <w:p>
      <w:r>
        <w:t>Dass die Ex-Ehefrau in der am 20. Mai 2005 unterzeichneten Erklärung die eheliche Gemeinschaft als stabil bezeichnete, stellt im Übrigen nur scheinbar einen Widerspruch zu ihren Ausführungen vom 26. April 2010 dar. Einerseits bestätigte sie, die Erklärung "aus freien Stücken" unterschrieben zu haben. Andererseits sprach sie von einer "sozusagen" stabilen Ehe trotz vieler Meinungsverschiedenheiten und Problemen. Den dazu ergänzenden Ausführungen (vgl. Ziff. 5 Bst. a der Stellungnahme der Ex-Ehefrau vom 26. April 2010) ist jedoch zu entnehmen, dass sie die unterzeichnete Erklärung mit der Hoffnung verknüpfte, die Probleme in den Griff zu bekommen. Zudem habe der Beschwerdeführer ihr damals auch bestätigt, mit dem Schweizer Pass sei er viel akzeptierter in der Arbeitswelt und könne in Zukunft in grossem Masse zum gemeinsamen Lebensunterhalt beitragen. Objektiv gesehen bestand jedoch damals schon keine stabile eheliche Gemeinschaft und zumindest seitens des Beschwerdeführers auch kein in Zukunft gerichteter Ehewille mehr, was aus seinem von der Ex-Ehefrau geschilderten Verhalten kurz nach Erhalt des Schweizer Passes geschlossen werden kann ("ständig auf Achse im Ausland, liess mich links liegen"). Ganz offensichtlich ging es dem Beschwerdeführer nach der Einbürgerung vor allem darum, mit einem Schweizer Reisepasses viel einfacher seinen deliktischen Tätigkeiten (Drogenhandel) nachzugehen. Auf jeden Fall hat er nichts in Bezug auf Integration in der Arbeitswelt und Aufbau eines legalen Geschäftes als massgeblichen Beitrag zum gemeinsamen Lebensunterhalt der Ehegatten unternommen.</w:t>
      </w:r>
    </w:p>
    <w:p>
      <w:r>
        <w:rPr>
          <w:b/>
        </w:rPr>
        <w:t>E. 9.4</w:t>
      </w:r>
    </w:p>
    <w:p>
      <w:r>
        <w:t>Was die zu den Einbürgerungsakten gelegten Unterstützungsschreiben von Drittpersonen anbelangt, so versteht es sich von selbst und bedarf keiner besonderen Erläuterungen, dass damit der Beweis einer intakten, auf die Zukunft gerichteten Ehe nicht zu erbringen ist. Vielmehr beschränken sich diesbezügliche Aussagen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dazu Urteil des Bundesverwaltungsgerichts C-378/2008 vom 29. November 2011 E. 7.2.6 mit Hinweis). Von der in der Rechtsmitteleingabe beantragten Befragung einer dieser Personen, die im Einbürgerungsverfahren ein entsprechendes Bestätigungsschreiben verfasst haben, kann demnach abgesehen werden.</w:t>
      </w:r>
    </w:p>
    <w:p>
      <w:r>
        <w:rPr>
          <w:b/>
        </w:rPr>
        <w:t>E. 10</w:t>
      </w:r>
    </w:p>
    <w:p>
      <w:r>
        <w:t>Dem Beschwerdeführer ist es somit nicht gelungen, die gegen ihn sprechende Vermutung überzeugend in Frage zu stellen, dass zum Zeitpunkt der gemeinsamen Erklärung vom 20. Mai 2005 und der erleichterten Einbürgerung am 21. Juni 2005 zwischen ihm und seiner Schweizer Ehefrau keine stabile und auf die Zukunft ausgerichtete eheliche Gemeinschaft bestanden hat. Aufgrund der gesamten Umstände muss im Gegenteil davon ausgegangen werden, dass der Ehewille bereits einige Zeit vorher erloschen war und an der Ehe schlussendlich nur festgehalten wurde, um dem Beschwerdeführer zum Schweizer Bürgerrecht zu verhelfen. Indem der Beschwerdeführer in der gemeinsamen Erklärung den Bestand einer intakten und stabilen Ehe versicherte, hat er die Behörden über wesentliche Tatsachen getäuscht und die erleichterte Einbürgerung im Sinne von Art. 41 Abs. 1 BüG erschlichen. Die materiellen Voraussetzungen für die Nichtigerklärung der erleichterten Einbürgerung sind folglich ebenfalls erfüllt.</w:t>
      </w:r>
    </w:p>
    <w:p>
      <w:r>
        <w:rPr>
          <w:b/>
        </w:rPr>
        <w:t>E. 11</w:t>
      </w:r>
    </w:p>
    <w:p>
      <w:r>
        <w:t>Aus den vorstehenden Erwägungen ergibt sich, dass die angefochtene Verfügung rechtmässig ist (Art. 49 VwVG). Die Beschwerde ist daher abzuweisen.</w:t>
      </w:r>
    </w:p>
    <w:p>
      <w:r>
        <w:rPr>
          <w:b/>
        </w:rPr>
        <w:t>E. 12</w:t>
      </w:r>
    </w:p>
    <w:p>
      <w:r>
        <w:t>Entsprechend dem Ausgang des Verfahrens sind die Kosten dem Beschwerdeführer aufzuerlegen (vgl. Art. 63 Abs. 1 VwVG i.V.m. Art. 1 ff. des Reglements vom 21. Februar 2008 über die Kosten und Entschädigungen vor dem Bundesverwaltungsgericht [VGKE,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