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C-5043/2008 vom 30. September 2009</w:t>
      </w:r>
    </w:p>
    <w:p>
      <w:r>
        <w:t>Bundesverwaltungsgericht, 2009-09-30, DE</w:t>
      </w:r>
    </w:p>
    <w:p>
      <w:r>
        <w:rPr>
          <w:b/>
        </w:rPr>
        <w:t xml:space="preserve">Quelle: </w:t>
      </w:r>
      <w:r>
        <w:t>https://mcp.opencaselaw.ch/entscheid/bvger_C-5043_2008</w:t>
      </w:r>
    </w:p>
    <w:p>
      <w:r>
        <w:t>FR: TAF C-5043/2008 du 30 septembre 2009</w:t>
      </w:r>
    </w:p>
    <w:p>
      <w:r>
        <w:t>IT: TAF C-5043/2008 del 30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Sri Lanka unterliegt die Gesuchstellerin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Die Wirtschaft Sri Lankas ist im Jahr 2008 real um 6,0% gewachsen. Das Pro-Kopf-Einkommen betrug 2'014 US-Dollar, das Bruttoinlandprodukt (BIP) 40,7 Mrd. US-Dollar. Die Werte des ersten Quartals 2009 (+1,5%) lassen für das Gesamtjahr jedoch eine geringere Rate erwarten. Ein Problem für die weitere wirtschaftliche Entwicklung ist zunehmend die Inflation, die 2008 für srilankische Verhältnisse Rekordzahlen erreichte. Allerdings weist die wirtschaftliche Entwicklung Sri Lankas grosse regionale Unterschiede auf. Wirtschaftliches Zentrum ist die Region rund um Colombo, die fast die Hälfte der gesamten Wirtschaftsleistung erbringt. Demgegenüber ist der Norden des Landes durch den jahrzehntelangen Bürgerkrieg in seiner Entwicklung zurückgeworfen und beim wirtschaftlichen Wiederaufbau sowohl auf erhebliche Hilfe der eigenen Regierung als auch auf internationale Unterstützung angewiesen (Quelle: Deutsches Auswärtiges Amt, &lt;http://www.auswaertiges-amt.de&gt;, Länder, Reisen und Sicherheit &gt; Sri Lanka &gt; Wirtschaft, Stand: Juli 2009). Darüber hinaus verschlechterte sich die Sicherheitslage im ganzen Land seit 2006 wieder, nachdem erneut Kämpfe zwischen dem Militär und der "Liberation Tigers of Tamil Eelam" (LTTE) ausgebrochen waren. Davon besonders betroffen waren der Osten und Norden Sri Lankas; Anschläge - auch auf zivile Ziele - kamen jedoch im ganzen Land vor. Zudem hatte die Regierung im Januar 2008 das Waffenstillstandsabkommen mit der LTTE offiziell per 16. Januar 2008 gekündigt. Seither hatten die Gefechte im Norden des Landes zugenommen, wobei jedoch auch die Hauptstadt Colombo mehrfach von Anschlägen betroffen war (vgl. Urteile des Bundesverwaltungsgerichts C-5841/2007 vom 1. Juli 2009 E. 7.3, C-1739/2008 vom 3. April 2009 E. 7.2 sowie BVGE 2008/2 E. 7.2 bis 7.5). Um die Jahreswende war die sri-lankische Armee in die letzten von den tamilischen Rebellen kontrollierten Gebiete vorgerückt und hatte die LTTE weiter zurückgedrängt. Nach einem über zwanzigjährigen bewaffneten Konflikt legten die LTTE am 17. Mai 2009 die Waffen nieder. Die Kämpfe zwischen Armee und Aufständischen in Sri Lanka haben viele Opfer unter der Zivilbevölkerung gefordert. Mehrere hunderttausend Menschen wurden aus ihren Wohnorten vertrieben. Die Lage in den ehemaligen Konfliktzonen im Norden, Osten und im Yala Nationalpark ist weiterhin unübersichtlich; das politische Klima bleibt gespannt. Auch nachdem die Regierung Sri Lankas die Kämpfe mit den Rebellen der LTTE für beendet erklärt hat, kann eine Fortsetzung des Guerilla-Krieges durch einzelne LTTE-Gruppen mit unter Umständen landesweiten Auswirkungen nicht ausgeschlossen werden (Quellen: Deutsches Auswärtiges Amt, a.a.O, Länder, Reisen und Sicherheit &gt; Sri Lanka &gt; Reise- und Sicherheitshinweise, Stand: 30. September 2009, unverändert gültig seit 21. August 2009, sowie EDA, a.a.O., Reisehinweise &gt; Reiseziele &gt; Sri Lanka, Stand: 22. Mai 2009, unverändert gültig: 3. September 2009).</w:t>
      </w:r>
    </w:p>
    <w:p>
      <w:r>
        <w:rPr>
          <w:b/>
        </w:rPr>
        <w:t>E. 7.3</w:t>
      </w:r>
    </w:p>
    <w:p>
      <w:r>
        <w:t>Vor diesem Hintergrund besteht erfahrungsgemäss häufig der Wunsch zur Auswanderung, welcher sich vor allem bei jüngeren und ungebundenen Menschen manifestiert; aber auch sozial eingebundene Personen und solche reiferen Alters fassen diesen Schritt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wobei sich die Anzahl der Gesuche wegen der Eskalation des bewaffneten Konfliktes im Vergleich zum Vorjahr fast verdoppelt hat. Dieser Trend setzte sich in den ersten sechs Monaten dieses Jahres fort: In dieser Zeitspanne reichten bereits 860 Personen aus Sri Lanka in der Schweiz ein Asylgesuch ein, was einer Zunahme von 83% im Vergleich zum Vorjahr entspricht (vgl. kommentierte BFM-Asylstatistik, 2. Quartal 2009, vom 9. Juli 2009, S. 2 und 7, im Internet unter: &lt;http://www.bfm.admin.ch&gt;, Themen &gt; Statistiken).</w:t>
      </w:r>
    </w:p>
    <w:p>
      <w:r>
        <w:rPr>
          <w:b/>
        </w:rPr>
        <w:t>E. 8.1</w:t>
      </w:r>
    </w:p>
    <w:p>
      <w:r>
        <w:t>Der Beschwerdeführer bringt in diesem Zusammenhang vor, die Berufung auf die Zuwanderung aus der Herkunftsregion der Gesuchstellerin sowie der Hinweis auf die in zahlreichen Fällen gemachten Erfahrungen sei zu pauschalisiert und zudem diskriminierend.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8.2</w:t>
      </w:r>
    </w:p>
    <w:p>
      <w:r>
        <w:t>Bei der Risikoanalyse sind allerdings nicht nur solch allgemeine Umstände und Erfahrungen, sondern auch, wie oben erwähnt,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Andererseits muss bei Gesuchstellern,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8.3</w:t>
      </w:r>
    </w:p>
    <w:p>
      <w:r>
        <w:t>Bei der aus der Nordprovinz Sri Lankas und somit aus einem Krisengebiet stammenden Gesuchstellerin handelt es sich um eine 60-jährige, verheiratete Frau, welche - als Hausfrau - keiner geregelten Erwerbstätigkeit nachgeht und daher beruflich nicht in der Arbeitswelt integriert ist. In welchem Umfang ihr 67-jähriger und damit im Rentenalter stehender Ehemann zum Lebensunterhalt der Familie beiträgt, wird von den Beteiligten nicht ausgeführt. Aufgrund der Aktenlage ist jedenfalls nicht davon auszugehen, die Eingeladene lebe in wirtschaftlich günstigen Verhältnissen, die sie verlässlich von einer Emigration abzuhalten vermöchte.</w:t>
      </w:r>
    </w:p>
    <w:p>
      <w:r>
        <w:rPr>
          <w:b/>
        </w:rPr>
        <w:t>E. 8.4</w:t>
      </w:r>
    </w:p>
    <w:p>
      <w:r>
        <w:t>Der Beschwerdeführer verweist hingegen auf das persönliche Umfeld der Gesuchstellerin und bringt in diesem Zusammenhang vor, die Eingeladene habe in ihrem Heimatland bedeutende familiäre Verantwortlichkeiten wahrzunehmen, lasse sie doch nebst ihrem Ehemann sowie vier Kindern und zahlreichen Enkelkindern auch ihre Schwester in Sri Lanka zurück. Dieses Argument vermag nach Ansicht des Bundesverwaltungsgerichts schon deshalb nicht zu überzeugen, weil der Umstand, dass gleich eine mehrwöchige Landesabwesenheit geplant ist, nicht ohne weiteres darauf schliessen lässt, die Präsenz der Gesuchstellerin sei für die Belange ihrer Familie unverzichtbar; aufgrund der Aktenlage ist eher davon auszugehen, die von ihr geleistete Unterstützung in Familie und Haushalt könne durchaus für längere Zeit auch auf andere Weise sichergestellt werden. Andererseits zeigt die Erfahrung, dass zurückbleibende Angehörige gerade in Situationen angespannter politischer bzw. wirtschaftlicher Verhältnisse nicht verlässlich davon abhalten können, den Entschluss für eine Emigration zu fällen. Überdies weist der Beschwerdeführer in seiner Eingabe ausdrücklich darauf hin, dass nicht nur sein Vater und seine Schwester, sondern auch seine drei Brüder Sri Lanka verlassen hätten und heute in Indien bzw. in Grossbritannien lebten. Vor diesem Hintergrund müssen die Beteuerungen auf Beschwerdeebene, wonach genügend Garantien für eine fristgerechte Wiederausreise der eingeladenen Tante vorhanden seien, als nicht ausschlaggebend bezeichnet werden. Dies umso weniger, als die Gesuchstellerin und ihre Familie bereits vor Jahren ihr ursprüngliches Wohngebiet verlassen und damit Haus und Hof aufgeben mussten und seit 2006 lediglich über einen vorübergehenden Wohnsitz in Visuvamadu (District Mullaitivu) verfügen (vgl. die erwähnte Bestätigung des "District Secretariat - Kilinochchi" vom 14. März 2008).</w:t>
      </w:r>
    </w:p>
    <w:p>
      <w:r>
        <w:rPr>
          <w:b/>
        </w:rPr>
        <w:t>E. 8.5</w:t>
      </w:r>
    </w:p>
    <w:p>
      <w:r>
        <w:t>Gestützt auf die vorstehenden Erwägungen durfte die Vorinstanz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 An dieser Risikoeinschätzung vermag auch der Hinweis des Beschwerdeführers auf seinen einwandfreien Leumund sowie das erworbene Schweizer Bürgerrecht nichts zu ändern. Seine Integrität in seiner Eigenschaft als Gastgeber wird auch gar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30. Mai 2008 geschehen ist - zwar für gewisse finanzielle Risiken (Lebensunterhaltskosten während des Besuchsaufenthaltes, allfällige Kosten für Unfall und Krankheit sowie Rückreisekosten) Garantie leisten. Für ein bestimmtes Verhalten des Gastes kann er aber, mangels rechtlicher und faktischer Durchsetzbarkeit, nicht garantieren (vgl. anstelle vieler: Urteile des Bundesverwaltungsgerichts C-204/2008 vom 5. März 2009 E. 8.4 und C-2618/2008 vom 26. Februar 2009 E.11, mit weiteren Hinweisen). Der (durchaus verständliche) Wunsch des Beschwerdeführers, seiner Tante das Lebensumfeld in der Schweiz zeigen zu können, hat demnach in den Hintergrund zu treten. Auch die weiteren Vorbringen des Beschwerdeführers sind nicht geeignet, zu einer vom BFM abweichenden rechtlichen Würdigung zu gelangen.</w:t>
      </w:r>
    </w:p>
    <w:p>
      <w:r>
        <w:rPr>
          <w:b/>
        </w:rPr>
        <w:t>E. 8.6</w:t>
      </w:r>
    </w:p>
    <w:p>
      <w:r>
        <w:t>Darüber hinaus bestehen schliesslich auch keine Hinweise dafür, dass die Einreiseverweigerung - wie vom Beschwerdeführer behauptet -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der Gesuchstellerin in der Schweiz zu verwirklichen wäre, was in casu nicht zutrifft. Dem (inzwischen eingebürgerten) Beschwerdeführer und seinen Familienangehörigen steht grundsätzlich die Möglichkeit offen, die Gesuchstellerin sowie die übrigen Verwandten - zu gegebener Zeit - in Sri Lanka zu besuchen.</w:t>
      </w:r>
    </w:p>
    <w:p>
      <w:r>
        <w:rPr>
          <w:b/>
        </w:rPr>
        <w:t>E. 9</w:t>
      </w:r>
    </w:p>
    <w:p>
      <w:r>
        <w:t>Aus diesen Gründen ist somit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10</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