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C-5042/2019 vom 7. Mai 2021</w:t>
      </w:r>
    </w:p>
    <w:p>
      <w:r>
        <w:t>Bundesverwaltungsgericht, 2021-05-07, DE</w:t>
      </w:r>
    </w:p>
    <w:p>
      <w:r>
        <w:rPr>
          <w:b/>
        </w:rPr>
        <w:t xml:space="preserve">Quelle: </w:t>
      </w:r>
      <w:r>
        <w:t>https://mcp.opencaselaw.ch/entscheid/bvger_C-5042_2019</w:t>
      </w:r>
    </w:p>
    <w:p>
      <w:r>
        <w:t>FR: TAF C-5042/2019 du 7 mai 2021</w:t>
      </w:r>
    </w:p>
    <w:p>
      <w:r>
        <w:t>IT: TAF C-5042/2019 del 7 maggio 2021</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und der Kostenvorschuss fristgerecht geleistet wurde, ist auf die Beschwerde einzutreten.</w:t>
      </w:r>
    </w:p>
    <w:p>
      <w:r>
        <w:rPr>
          <w:b/>
        </w:rPr>
        <w:t>E. 2.1</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11. September 2019 in Kraft standen; weiter aber auch Vorschriften, die zu jenem Zeitpunkt bereits ausser Kraft getreten waren, die aber für die Beurteilung allenfalls früher entstandener Leistungsansprüche von Belang sind.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2.4</w:t>
      </w:r>
    </w:p>
    <w:p>
      <w:r>
        <w:t>Das Sozialversicherungsgericht stellt bei der Beurteilung einer Streitsache in der Regel auf den bis zum Zeitpunkt des Erlasses der streitigen Verwaltungsverfügung (hier: 11. September 2019) eingetretenen Sachverhalt ab (BGE 132 V 215 E. 3.1.1). Tatsachen, die jenen Sachverhalt seither verändert haben, sollen im Normalfall Gegenstand einer neuen Verwaltungsverfügung sein (BGE 121 V 362 E. 1b).</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Bestehen auch nur geringe Zweifel an der Zuverlässigkeit und Schlüssigkeit der RAD-Berichte, kann darauf nicht abgestellt werden (vgl. Urteil des BGer 9C_743/2015 vom 19. September 2016 E. 4.1 in fine).</w:t>
      </w:r>
    </w:p>
    <w:p>
      <w:r>
        <w:rPr>
          <w:b/>
        </w:rPr>
        <w:t>E. 3.4.1</w:t>
      </w:r>
    </w:p>
    <w:p>
      <w:r>
        <w:t>Die Prüfung, ob eine psychische Erkrankung eine rentenbegründende Invalidität zu begründen vermag, hat grundsätzlich anhand eines strukturierten Beweisverfahrens nach BGE 141 V 281 zu erfolgen (BGE 143 V 409 E. 4.5; 143 V 418 E. 6 ff.). Die ärztliche Beurteilung bildet eine wichtige Grundlage für die anschliessende juristische Beurteilung.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(vgl. BGE 144 V 50 E. 4.3 mit zahlreichen Hinweisen).</w:t>
      </w:r>
    </w:p>
    <w:p>
      <w:r>
        <w:rPr>
          <w:b/>
        </w:rPr>
        <w:t>E. 3.4.2</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3.4.3</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3.4.4</w:t>
      </w:r>
    </w:p>
    <w:p>
      <w:r>
        <w:t>Aus Gründen der Verhältnismässigkeit kann dort von einem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mit Hinweisen).</w:t>
      </w:r>
    </w:p>
    <w:p>
      <w:r>
        <w:rPr>
          <w:b/>
        </w:rPr>
        <w:t>E. 3.5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4.1</w:t>
      </w:r>
    </w:p>
    <w:p>
      <w:r>
        <w:t>Nachfolgend ist zu prüfen, ob die Vorinstanz das Leistungsbegehren des Beschwerdeführers zu Recht abgewiesen hat. Der IVSTA standen zur Beurteilung des Gesuchs im Wesentlichen folgende Unterlagen zur Verfügung:</w:t>
      </w:r>
    </w:p>
    <w:p>
      <w:r>
        <w:rPr>
          <w:b/>
        </w:rPr>
        <w:t>E. 4.1.1</w:t>
      </w:r>
    </w:p>
    <w:p>
      <w:r>
        <w:t>Dr. med. B._______, Facharzt für Unfallchirurgie, hielt in seinem Gutachten vom 26. Januar 2017 (IV-act. 4) folgende Diagnosen fest: Zervikalgie, Dorsolumbalgie bei degenerativer Abnützung der Wirbelsäule, Z.n. Oberschenkelbruch rechts als Kind mit Beinlängenverkürzung um 3cm, Z.n. Knie-TEP rechts mit Instabilität und Z.n. Tenotomie der linken langen Bizepssehne. In Bezug auf die Arbeitsfähigkeit führte er aus, der Beschwerdeführer sei in der Lage, leichte wechselbelastende Arbeiten, überwiegend sitzend auszuführen. Er könne keine Arbeiten in unebenem Gelände und auf Leitern oder Gerüsten verrichten. Unter Berücksichtigung der vorgenannten Einschränkungen sei der Beschwerdeführer zu 100 % arbeitsfähig.</w:t>
      </w:r>
    </w:p>
    <w:p>
      <w:r>
        <w:rPr>
          <w:b/>
        </w:rPr>
        <w:t>E. 4.1.2</w:t>
      </w:r>
    </w:p>
    <w:p>
      <w:r>
        <w:t>Das Gesamtgutachten von Dr. med. C._______, LL.M. Facharzt für Innere Medizin, Kardiologie und Intensivmedizin, vom 23. Juli 2018 (IV-act. 44) wurde unter Berücksichtigung der Vorakten und unter Einbezug der Gutachten von Mag. Dr. med. univ. D._______, Facharzt für Orthopädie und orthopädische Chirurgie, Sportorthopädie vom 11. Juli 2017 (IV-act. 72) und vom 17. Oktober 2017 (IV-act. 73) und von Univ. Doz. Dr. med. E._______ Facharzt für Psychiatrie und Neurologie, vom 16. Januar 2018 (IV-act. 74) und vom 19. Februar 2018 (IV-act. 75) erstellt. Dem Gesamtgutachten sind folgende Diagnosen zu entnehmen: 1) Depressive Reaktion (F43.21), 2) Sensibilitätsstörung im Bereich der Vorderseite des linken Oberschenkels (postoperativ), 3) chronisches unteres Zervikalsyndrom bei degenerativen Veränderungen der Segmente C5/C7, derzeit ohne radikuläre Reizsymptomatik und ohne radikuläre neurologische Ausfalls-Symptomatik, 4) chronische Dorsolumbalgie, 5) endlagig schmerzhafte Bewegungseinschränkung beider Schultern, 6) Z.n. Bizepssehnentenodese (2013), 7) endlagig schmerzhafte Bewegungseinschränkung beider Hüftgelenke bei leichtgradigen degenerativen Veränderungen beider Hüftgelenke (leichtgradige Coxarthrose beidseits), 8) Funktionseinschränkung des rechten Kniegelenks bei Z.n. Implantation einer zementierten Knie-Totalendoprothese rechts, 9) posttraumatische Beinlängendifferenz rechts von 3 cm bei Zustand nach Femurfraktur rechts im Kindesalter, 10) drei kleine Cauda-Neurinome, 11) Übergewicht, 12) Z.n. Ringbandspaltung linker Daumen (10/2015), 13) leichtgradige Daumengrundgelenks-Arthrose links, 14) Hiatushernie, Gastritis Typ C, 15) nicht beatmungspflichtiges obstruktives Schlafapnoe-Syndrom und 16) berichtete Palpitationen (Langzeit-EKG unauffällig). In Bezug auf die Arbeitsfähigkeit führten die Gutachter aus, dem Beschwerdeführer seien Arbeiten unter Berücksichtigung folgender Einschränkungen zumutbar: Tragen bis 5 kg, Heben bis 7 kg, Arbeiten im Gehen, Stehen oder Sitzen, überwiegend jedoch im Sitzen (vgl. auch den detaillierten Anforderungskatalog IV-act. 44 S. 21). Aufgrund der Beschwerdebilder beider Schultern bestünden grobmotorische Einschränkungen beider oberen Extremitäten für Arbeiten, die ein wiederholtes Heben beider Arme über die Horizontale erfordern. Nicht möglich seien Arbeiten unter erhöhtem Zeitdruck oder Stressbedingungen. Es bestünden zudem ausgeprägte Konzentrationsschwierigkeiten mit entsprechender Einschränkung hinsichtlich dem Erlernen neuer Fähigkeiten und Umstellbarkeit. Aus psychiatrischer Sicht sei nur ein sechsstündiger Arbeitstag möglich. Diese Einschätzung gelte sicher seit Antragsstellung (31. Oktober 2016).</w:t>
      </w:r>
    </w:p>
    <w:p>
      <w:r>
        <w:rPr>
          <w:b/>
        </w:rPr>
        <w:t>E. 4.1.3</w:t>
      </w:r>
    </w:p>
    <w:p>
      <w:r>
        <w:t>Dr. med. F._______, Facharzt für Physikalische Medizin und Rehabilitation beim RAD, hielt in seinen Stellungnahmen vom 23. Mai 2017 (IV-act. 26), vom 3. Dezember 2018 (IV-act. 48) und vom 3. September 2019 (IV-act. 79) fest, beim Beschwerdeführer lägen als Hauptdiagnosen ein Status nach Knie TEP Implantation rechts mit Instabilität, ein Status nach Tenodese Lange Bizepssehne, leichtgradige Coxarthrose beidseits, ein HWS Syndrom, eine AC Gelenksarthrose sowie ein LWS Syndrom bei degenerativen Veränderungen vor. Ferner bestünden (als Nebendiagnosen) Faszikulationen/Myoklonien Oberschenkel rechts und eine depressive Reaktion. Er erachtete den Beschwerdeführer wegen der Rekonvaleszenzzeit nach der Knie TEP vom 2. September 2014 bis zum 1. Dezember 2014 in der bisherigen Tätigkeit sowie auch in einer Verweistätigkeit als zu 100 % arbeitsunfähig. Für die Zeit ab dem 2. Dezember 2014 attestierte er für angepasste Tätigkeiten wieder eine volle Arbeitsfähigkeit und in der bisherigen Tätigkeit ging er von einer vollen Arbeitsunfähigkeit aus (vgl. Stellungnahmen vom 3. Dezember 2018 und vom 3. September 2019). Er begründete die Arbeitsunfähigkeit in der bisherigen Tätigkeit als Buschauffeur mit der Instabilität des Knies und der bestehenden Rückenproblematik. In Bezug auf die depressive Reaktion führte Dr. med. F._______ aus, im psychiatrischen Gutachten sei zwar von einer Arbeitsfähigkeit von höchstens sechs Stunden die Rede, was aber bei der genannten Diagnose (depressive Reaktion) und den Befunden nicht nachvollziehbar sei.</w:t>
      </w:r>
    </w:p>
    <w:p>
      <w:r>
        <w:rPr>
          <w:b/>
        </w:rPr>
        <w:t>E. 4.1.4</w:t>
      </w:r>
    </w:p>
    <w:p>
      <w:r>
        <w:t>Dr. med. G._______, Facharzt für Psychiatrie und Kinderpsychiatrie äusserte sich in seinen Stellungnahmen vom 9. Mai 2019 (IV-act. 57) und vom 22. August 2019 (IV-act. 77) dahingehend, dass gestützt auf die vorhandenen Akten als Diagnose Angst und depressive Störung gemischt (F41.2) festzuhalten sei. Die Arbeitsfähigkeit in der bisherigen Tätigkeit betrage 0 % und in angepassten Tätigkeiten liege eine volle Arbeitsfähigkeit seit dem 2. Dezember 2014 vor.</w:t>
      </w:r>
    </w:p>
    <w:p>
      <w:r>
        <w:rPr>
          <w:b/>
        </w:rPr>
        <w:t>E. 4.2</w:t>
      </w:r>
    </w:p>
    <w:p>
      <w:r>
        <w:t>Dem psychiatrischen Gutachten von Univ. Doz. Dr. med. E._______ Facharzt für Psychiatrie und Neurologie, respektive dem Gesamtgutachten von Dr. med. C._______, LL.M. Facharzt für Innere Medizin, Kardiologie und Intensivmedizin, ist zu entnehmen, dass beim Beschwerdeführer sowohl körperliche als auch psychische Beschwerden vorliegen. Aufgrund der diagnostizierten depressiven Störung ist im vorliegenden Fall die Beurteilung der Arbeitsfähigkeit anhand des strukturierten Beweisverfahrens im Sinne von BGE 141 V 281 durchzuführen. Es kann lediglich ausnahmsweise auf das strukturierte Beweisverfahren verzichtet werden, wenn namentlich fachärztlich eine Arbeitsunfähigkeit nachvollziehbar verneint wurde oder lediglich eine leichtgradige, nicht chronifizierte depressive Störung ohne Komorbiditäten vorliegt (vgl. E. 3.4.3 hiervor). Hier liegt eine psychische Störung vor, die von einem begutachtenden, unabhängigen Facharzt diagnostiziert wurde. Die Diagnose als solche wurde von den RAD-Ärzten zwar nicht angezweifelt, aber die attestierten Auswirkungen auf die Arbeitsfähigkeit. Damit liegen bereits geringe Zweifel an der arbeitsmedizinischen Schätzung des Leistungskalküls vor (vgl. E. 3.3 in fine). Da nebst der psychischen Störung einige somatische Komorbiditäten bestehen und auch keine Hinweise auf Aggravation vorliegen, liegt hier kein Ausnahmefall im obgenannten Sinn vor und ein Verzicht auf die Durchführung eines strukturierten Beweisverfahrens ist nicht möglich. Angesichts der vorliegenden vielseitigen Beschwerden ist es somit unerlässlich, eine Indikatorenprüfung durchzuführen, um ein verlässliches Bild in Bezug auf die Arbeitsfähigkeit des Beschwerdeführers zu erhalten. Zusammenfassend ist daher festzuhalten, dass vorliegend eine interdisziplinäre fachärztliche Beurteilung (orthopädisch, psychiatrisch und internistisch/allgemeinmedizinisch) fehlt, welche die vorhandenen Beschwerden hinreichend und umfassend würdigt und unter Berücksichtigung der von der bundesgerichtlichen Rechtsprechung geforderten Standardindikatoren die Auswirkungen auf die Arbeitsfähigkeit beurteilt.</w:t>
      </w:r>
    </w:p>
    <w:p>
      <w:r>
        <w:rPr>
          <w:b/>
        </w:rPr>
        <w:t>E. 4.3.1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4.3.2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4.3.3</w:t>
      </w:r>
    </w:p>
    <w:p>
      <w:r>
        <w:t>Hier liegen zwar mehrere vom Bundesverwaltungsgericht zu würdigende Berichte im Recht, die jedoch eine abschliessende Beurteilung der Arbeitsfähigkeit nicht zulassen. Eine Beurteilung ohne eingehende Diskussion der die Arbeitsfähigkeit beeinflussenden Faktoren und ohne die Durchführung eines strukturierten Beweisverfahrens ist im vorliegenden Fall nicht zulässig. Die vorliegende Konstellation hätte zwangsläufig zu einer Präzisierung der vorhandenen Unterlagen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Daher und aufgrund dessen, dass vorliegend aufgrund der Aktenlage der Gesundheitszustand und demnach auch die Arbeitsfähigkeit des Beschwerdeführers nicht abschliessend beurteilt werden kann, sind weitere medizinische Abklärungen im obgenannten Sinn (vgl. E. 4.2 hiervor) anzuordnen.</w:t>
      </w:r>
    </w:p>
    <w:p>
      <w:r>
        <w:rPr>
          <w:b/>
        </w:rPr>
        <w:t>E. 4.3.4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Dem Beschwerdeführer sind die ihm zustehenden Mitwirkungsrechte einzuräumen (vgl. BGE 137 V 210 E. 3.4.2.9).</w:t>
      </w:r>
    </w:p>
    <w:p>
      <w:r>
        <w:rPr>
          <w:b/>
        </w:rPr>
        <w:t>E. 4.3.5</w:t>
      </w:r>
    </w:p>
    <w:p>
      <w:r>
        <w:t>Im Ergebnis ist die Beschwerde teilweise gutzuheissen und die Verfügung vom 11. September 2019 ist aufzuheben. Die Sache ist zur Durchführung der notwendigen medizinischen Abklärungen, erneuten Prüfung des Leistungsanspruchs und zur Verfügung über den Anspruch des Beschwerdeführers auf Leistungen der schweizerischen Invalidenversicherung an die Vorinstanz zurückzuweisen.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Der vom Beschwerdeführer geleistete Kostenvorschuss in der Höhe von Fr. 800.- ist ihm nach Eintritt der Rechtskraft des vorliegenden Entscheids auf ein von ihm bekannt zu gebendes Konto zurückzuerstatten. Einer unterliegenden Vorinstanz sind gemäss Art. 63 Abs. 2 VwVG ebenso wenig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(vgl. Art. 8 Abs. 1 und 2 VGKE).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der Bedeutung der Streitsache und der Schwierigkeit des vorliegend zu beurteilenden Verfahrens, sowie dem durchgeführten einfachen Schriftenwechsel und in Anbetracht der in vergleichbaren Fällen gesprochenen Entschädigungen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