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C-5038/2013 vom 12. Mai 2014</w:t>
      </w:r>
    </w:p>
    <w:p>
      <w:r>
        <w:t>Bundesverwaltungsgericht, 2014-05-12, DE</w:t>
      </w:r>
    </w:p>
    <w:p>
      <w:r>
        <w:rPr>
          <w:b/>
        </w:rPr>
        <w:t xml:space="preserve">Quelle: </w:t>
      </w:r>
      <w:r>
        <w:t>https://mcp.opencaselaw.ch/entscheid/bvger_C-5038_2013</w:t>
      </w:r>
    </w:p>
    <w:p>
      <w:r>
        <w:t>FR: TAF C-5038/2013 du 12 mai 2014</w:t>
      </w:r>
    </w:p>
    <w:p>
      <w:r>
        <w:t>IT: TAF C-5038/2013 del 12 maggio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In der Replik beantragt der Rechtsvertreter im Nachhinein eine Parteibefragung.</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(vgl. BGE 132 II 113 E. 3.2 S. 115). Das Verwaltungsrechtspflegeverfahren ist vom Grundsatz der Schriftlichkeit geprägt (Moser et al., Prozessieren vor dem Bundesverwaltungsgericht, 2. Aufl. 2013, Rz. 3.86 S. 183 m.H.) und es besteht kein Anspruch auf eine mündliche Anhörung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f. m.H. oder Urteile des Bundesgerichts 1C_193/2010 vom 4. November 2010 E. 2.8 und 1C_460/2008 vom 3. Februar 2009 E. 3.1 m.H.).</w:t>
      </w:r>
    </w:p>
    <w:p>
      <w:r>
        <w:rPr>
          <w:b/>
        </w:rPr>
        <w:t>E. 3.3</w:t>
      </w:r>
    </w:p>
    <w:p>
      <w:r>
        <w:t>Im vorliegenden Fall erschliesst sich der entscheidswesentliche Sach-verhalt in hinreichender Weise aus den Akten. Mit der angeregten Parteibefragung sollen Sachverhaltselemente (Ausübung einer Erwerbstätigkeit sowie klagloses Verhalten im Heimatland) erläutert werden, die gar nicht strittig sind. Abgesehen davon ist dem Beschwerdeführer im vorinstanzlichen Verfahren das rechtliche Gehör gewährt worden und er konnte sich in diesem Rechtsmittelverfahren bereits eingehend zur Angelegenheit äussern. Von der beantragten Beweisvorkehr kann deshalb in antizipierter Beweiswürdigung ohne Verletzung des Anspruchs auf rechtliches Gehör abgesehen werden (BGE 136 I 229 E. 5.3 S. 236 f. m.H.).</w:t>
      </w:r>
    </w:p>
    <w:p>
      <w:r>
        <w:rPr>
          <w:b/>
        </w:rPr>
        <w:t>E. 4</w:t>
      </w:r>
    </w:p>
    <w:p>
      <w:r>
        <w:t>Mit Inkrafttreten des AuG am 1. Januar 2008 wurde das ANAG (BS 1 121) abgelöst (vgl. Art. 125 AuG i.V.m. Ziffer I des Anhangs 2 zum AuG). Das AuG beansprucht Geltung auf alle Verfahren, die nach seinem Inkrafttreten eingeleitet wurden, sei es auf Gesuch in oder von Amtes wegen (vgl. Art. 126 Abs. 1 AuG e contrario; ferner BVGE 2008/1 E. 2 m.H.).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Allgemeines Verwaltungsrecht, 6. Aufl. 2010, Rz. 337 ff.).</w:t>
      </w:r>
    </w:p>
    <w:p>
      <w:r>
        <w:rPr>
          <w:b/>
        </w:rPr>
        <w:t>E. 5.1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5.2</w:t>
      </w:r>
    </w:p>
    <w:p>
      <w:r>
        <w:t>Das Einreiseverbot ist eine Massnahme zur Abwendung einer künftigen Störung der öffentlichen Sicherheit und Ordnung (vgl. Botschaft zum Bundesgesetz über die Ausländerinnen und Ausländer vom 8. März 2002, BBl 2002 3813). Die öffentliche Sicherheit und Ordnung im Sinne von Art. 67 Abs. 2 Bst. a AuG bildet den Oberbegriff für die Gesamtheit der polizeilichen Schutzgüter; sie umfasst u.a. die Unverletzlichkeit der objektiven Rechtsordnung und der Rechtsgüter Einzelner (vgl. BBl 2002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mit Hinweisen). Somit können die vorliegenden Rechtsgüterverletzungen als Teil der objektiven Rechtsordnung ein Einreiseverbot nach sich ziehen, allerdings nicht als Sanktion, sondern als Massnahme zum Schutz künftiger Störungen (vgl. BBl 2002 3813).</w:t>
      </w:r>
    </w:p>
    <w:p>
      <w:r>
        <w:rPr>
          <w:b/>
        </w:rPr>
        <w:t>E. 5.3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wegen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6.1</w:t>
      </w:r>
    </w:p>
    <w:p>
      <w:r>
        <w:t>Das Landgericht Landshut hat den Beschwerdeführer am 1. Dezember 2006 wegen Drogendelikten zu einer Gesamtfreiheitsstrafe von sieben Jahren und zehn Monaten verurteilt. Damit wurde die Grenze zur längerfristigen Freiheitsstrafe gemäss Art. 62 Bst. b AuG deutlich überschritten (vgl. BGE 139 I 145 E. 2.1 S. 147 sowie Urteil des Bundesgerichts 2C_778/2011 vom 24. Februar 2012 E. 3.1 mit Hinweisen). Aufgrund der abgeurteilten Delinquenz sind die Voraussetzungen für ein Einreiseverbot gemäss Art. 67 Abs. 2 Bst. a AuG gegeben. Der Parteivertreter wendet in der Beschwerdeschrift zwar ein, die Tat seines Mandanten habe sich im Ausland zugetragen und es sei kein Bezug zur Schweiz ersichtlich. Nach der Rechtsprechung des Bundesverwaltungsgerichts führt der Handel mit harten Drogen regelmässig zur Anordnung von Fernhaltemassnahmen. Bei Straftaten im Ausland gilt dies - nicht nur bei Drogendelikten - wenn ein Bezug zur Schweiz besteht (vgl. BBl 2002 3813, ferner Urteil des BVGer C-512/2009 vom 3. April 2013 E. 6.3). Ein solcher ist ohne weiteres vorhanden, sind schwere Widerhandlungen gegen die Betäubungsmittelgesetzgebung doch nicht nur in Deutschland, wo sich die Taten abgespielt haben, sondern auch hierzulande als Verbrechen zu qualifizieren. Die Verbindlichkeit des deutschen Gerichtsurteils wird zu Recht nicht angezweifelt. Persönlich steht der Beschwerdeführer zudem in gewissen Beziehungen zur Schweiz und dies war sowohl vor als auch nach jenem Vorkommnis der Fall (früher hierzulande ansässige Verwandte und Bekannte, heute wohnen zusätzlich die zweite Ehefrau und der Sohn in der Schweiz). Der diesbezügliche Einwand geht daher fehl, womit der Betroffene den Fernhaltegrund einer Störung der öffentlichen Sicherheit und Ordnung zweifelsohne gesetzt hat.</w:t>
      </w:r>
    </w:p>
    <w:p>
      <w:r>
        <w:rPr>
          <w:b/>
        </w:rPr>
        <w:t>E. 6.2</w:t>
      </w:r>
    </w:p>
    <w:p>
      <w:r>
        <w:t>Das öffentliche Interesse an einer Fernhaltung des Beschwerdeführers ist nur schon aus präventivpolizeilicher Sicht als gewichtig einzustufen (zur Zulässigkeit der Berücksichtigung generalpräventiver Aspekte in Konstellationen, in denen wie hier kein sog. Vertragsausländer betroffen ist, vgl. Urteil des Bundesgerichts 2C_282/2012 vom 31. Juli 2012 E. 2.5 m.H.).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die Betäubungsmittelgesetzgebung im In- oder Ausland - selbst bei lediglich einer Verurteilung - mit mehr- bzw.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m.H., Urteile des Bundesgerichts 2C_282/2012 vorerwähnt sowie 2C_768/2011 vom 4. Mai 2012 E. 4.3 und 2C_1029/2011 vom 10. April 2012 E. 3.3.1).</w:t>
      </w:r>
    </w:p>
    <w:p>
      <w:r>
        <w:rPr>
          <w:b/>
        </w:rPr>
        <w:t>E. 6.3</w:t>
      </w:r>
    </w:p>
    <w:p>
      <w:r>
        <w:t>Auch in subjektiver Hinsicht wiegt das massnahmeauslösende Fehlverhalten des Beschwerdeführers schwer, was auf Beschwerdeebene denn gar nicht in Abrede gestellt wird. Gemäss dem Urteil des Landgerichts Landshut vom 1. Dezember 2006 führte er am 30. März 2005 gemeinsam mit einem Landsmann in einem Personenwagen (in welchem unter der Rücksitzbank ein Drogenversteck eingebaut war) vom Kosovo über Kroatien, Slowenien und Österreich rund 28 Kilogramm Heroin nach Deutschland ein, wobei er wusste, dass die transportierten Drogen für den gewinnbringenden Weiterverkauf durch einen Dritten bestimmt waren. Bei diesen 28 Kilogramm Heroin handelte es sich um Rauschgift von schlechter Qualität, mit einem Wirkstoffgehalt von 1 % Heroinhydrochlorid. Nebst dieser Kurierfahrt unterstützte der Beschwerdeführer die fragliche Drittperson noch bei der Vorbereitung einer weiteren Beschaffungsfahrt. Konkret brachte er am 12. Juli 2005 das inzwischen auf seinen Namen eingetragene Fahrzeug mit dem eingebauten Drogenversteck von seinem damaligen Wohnort nach Regensburg. Tags darauf schlossen er und ein anderer Kurier über diesen Personenwagen einen Scheinkaufvertrag ab. Diese Beihilfehandlungen erleichterten die unerlaubte Einfuhr weiterer fünf Kilogramm Heroin (mit einem Wirkstoffgehalt von 9,9 %). Erschwerend kommt hinzu, dass der Betroffene selber nie drogensüchtig gewesen ist. Dementsprechend hoch fiel das Strafmass aus. Angesichts der konkreten Tatumstände - insbesondere wegen der grossen Mengen Heroin, welche transportiert wurden - und der zu kurzen Bewährungszeit (siehe E. 6.6 weiter hinten) erscheint daher klar, dass in der Person des Beschwerdeführers auch der Fernhaltegrund einer Gefährdung der öffentlichen Sicherheit und Ordnung gegeben ist.</w:t>
      </w:r>
    </w:p>
    <w:p>
      <w:r>
        <w:rPr>
          <w:b/>
        </w:rPr>
        <w:t>E. 6.4</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6.5</w:t>
      </w:r>
    </w:p>
    <w:p>
      <w:r>
        <w:t>Die Vorinstanz hat das Einreiseverbot auf zehn Jahre befristet und stützt sich - wenn explizit auch erst in der Vernehmlassung - auf die Bestimmung von Art. 67 Abs. 3 zweiter Satz AuG, welche Fernhaltemassnahmen von mehr als fünf Jahren zulässt, wenn die betroffene Person eine schwerwiegende Gefahr für die öffentliche Sicherheit und Ordnung darstellt. Eine einfache Störung oder Gefährdung der öffentlichen Sicherheit und Ordnung genügen nicht. Verlangt wird eine qualifizierte Gefahrenlage, worüber nach Massgabe aller Umstände des Einzelfalls zu befinden ist. Eine schwerwiegende Gefahr kann sich namentlich aus der Natur der bedrohten Rechtsgüter,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ergeben, dass keine günstige Prognose gestellt werden kann. Die zu befürchtenden Delikte müssen einzeln oder in ihrer Summe das Potenzial haben, um eine aktuelle, schwerwiegende Gefährdung zu begründen (vgl. BGE 139 II 121 E. 5 und 6 S. 125 ff.; BVGE 2013/4 E. 7.2.4; Urteil des BVGer C-2128/2012 vom 6. Februar 2014 E. 6.5).</w:t>
      </w:r>
    </w:p>
    <w:p>
      <w:r>
        <w:rPr>
          <w:b/>
        </w:rPr>
        <w:t>E. 6.6</w:t>
      </w:r>
    </w:p>
    <w:p>
      <w:r>
        <w:t>Dass die vom Landgericht Landshut abgeurteilten Taten eine schwerwiegende Störung der öffentlichen Sicherheit und Ordnung darstellen, bedarf im Lichte der bundesgerichtlichen Rechtsprechung (siehe BGE 139 II 121 E. 6.3 in fine S. 131) keiner näheren Erläuterungen. Hingegen stellt sich die Frage, ob die Wahrscheinlichkeit einer erneuten Begehung ähnlich gelagerter Delikte hinreichend gross ist, um auch von einer schwerwiegenden Gefahr im Sinne von Art. 67 Abs. 3 zweiter Satz AuG ausgehen zu können. Sie muss höher sein, als die, welche der Annahme einer rechtlichen relevanten Gefahr im Sinne von Art. 67 Abs. 2 Bst. a AuG zu Grunde liegt (Urteil des BVGer C-2128/2012 vom 6. Februar 2014 E. 6.7). Der Rechtsvertreter gibt in diesem Zusammenhang zu bedenken, dass die Taten schon mehr als acht Jahre zurückliegen. In der Replik betont er zudem, dass sein Mandant nach der Rückkehr in den Kosovo fast ununterbrochen erwerbstätig gewesen sei und er sich seither wohl verhalten habe. Wie an anderer Stelle dargetan (siehe E. 6.1 und 6.2 vorstehend), kann angesichts des betroffenen Rechtsgutes und der Grössenordnung der transportierten Drogen selbst ein geringes Restrisiko des Rückfalles nicht hingenommen werden (vgl. Urteil des Bundesgerichts 2C_474/2011 vom 22. Dezember 2011 E. 3.1 m.H.). Die Vorinstanz hat nicht übersehen, dass der Beschwerdeführer seit dem Sommer 2005 nicht mehr straffällig geworden ist. Der Parteivertreter verkennt aber, dass für die Berechnung der Dauer des klaglosen Verhaltens nicht auf den Begehungs- oder Urteilszeitpunkt abzustellen ist, sondern es vielmehr zu überprüfen gilt, wie lange sich eine straffällig gewordene Person nach ihrer Entlassung aus der Haft in Freiheit bewährt hat (vgl. BVGE 2008/24 E. 6.2). Der Beschwerdeführer befand sich vom 22. Februar 2006 bis 20. Juli 2011 in Deutschland im Strafvollzug. Danach wurde er bedingt aus der Haft entlassen, bei einer offenen Reststrafe von 880 Tagen (Strafende: Ende Dezember 2013). Gemessen an den verletzten Rechtsgütern und der Schwere der Straftaten erweist sich die seit der Haftentlassung abgelaufene Bewährungsfrist folglich als viel zu kurz, als dass bereits eine grundlegende, gefestigte Wandlung - und damit einhergehend - eine klare Distanzierung von der eigenen kriminellen Vergangenheit angenommen werden könnte (vgl. BGE 130 II 493 E. 5.4 S. 504). Daran vermögen die eingereichten Unterlagen (Bestätigungen zur geregelten Erwerbstätigkeit und zum klaglosen Verhalten im Kosovo) nichts zu ändern. Nur schon wegen des bis vor kurzem auf ihm lastenden Druckes der Probezeit kann nämlich ein Rückfallrisiko vorderhand nicht ausgeschlossen werden. Im Rahmen der Rückfallbeurteilung negativ wirkt sich überdies aus, dass der Beschwerdeführer in einer Phase in den Drogenhandel einstieg, als er in Deutschland einen Job hatte, in erster Ehe verheiratet war und Vater einer zum damaligen Zeitpunkt dreijährigen Tochter gewesen ist. Selbst ein solches Umfeld hielt ihn seinerzeit nicht vom Delinquieren ab. Nicht nur das Tatbestandsmerkmal der schwerwiegenden Störung, sondern auch dasjenige der schwerwiegenden Gefahr für die öffentliche Sicherheit und Ordnung gemäss Art. 67 Abs. 3 Satz 2 AuG ist folglich erfüllt.</w:t>
      </w:r>
    </w:p>
    <w:p>
      <w:r>
        <w:rPr>
          <w:b/>
        </w:rPr>
        <w:t>E. 6.7</w:t>
      </w:r>
    </w:p>
    <w:p>
      <w:r>
        <w:t>Wiederholt wird im Verlaufe des Rechtsmittelverfahrens darüber hinaus hervorgehoben, dass die deutschen Behörden den Beschwerdeführer wegen derselben Drogendelinquenz lediglich während fünf Jahren von Deutschland und dem Schengenraum fernhalten. Dem sich in den Akten befindlichen Beschluss des Bayerischen Verwaltungsgerichtes München vom 23. September 2010 zufolge sind die Wirkungen der Ausweisung und eventuellen Abschiebung in der Tat auf fünf Jahre nach tatsächlicher Ausreise des Beschwerdeführers aus Deutschland befristet. Da in den Ländern des Schengenraumes gegenüber Drittstaatsangehörigen verhängte Einreiseverbote in der Regel im SIS ausgeschrieben werden, entfalten die beiden in Frage stehenden Fernhaltemassnahmen jedenfalls bis zum 20. Juli 2016 (dann läuft das deutsche Einreiseverbot ab) keine doppelte oder mehrfache Wirkung. Der Parteivertreter stört sich in dieser Hinsicht hauptsächlich daran, dass jeder Schengener Staat die Gefahr für die öffentliche Sicherheit und Ordnung aufgrund eigener Regeln und Kriterien beurteilt, was bei Einreiseverboten zu einer uneinheitlichen Praxis unter den Staaten führe. Dies gilt es jedoch bis zu einem gewissen Grade in Kauf zu nehmen. Entscheide der beschriebenen Art beruhen auf einer Gesamtbetrachtung. Angesichts der Vielzahl von Behörden, die in den verschiedenen Ländern im betroffenen Bereich eine relativ grosse Anzahl von Entscheiden zu fällen haben, ist ohnehin mit Abweichungen zu rechnen, ohne dass deswegen gleich auf Rechtsfehler in der Ermessensausübung oder auf eine Missachtung des Verhältnismässigkeitsgrundsatzes geschlossen werden könnte. Anzumerken wäre, dass das Bayerische Verwaltungsgericht München die fünfjährige Befristung ausdrücklich an zwei Voraussetzungen knüpfte (erstens keine erneute Straffälligkeit bis zum Ablauf der Befristung, zweitens das Unterhalten einer familiären Beziehung zur Tochter aus erster Ehe), die dortige Fernhaltung könnte also gegebenenfalls verlängert werden. Ausserdem agierten die deutschen Behörden wohl in der Annahme, der seit anfangs 2008 von seiner deutschen Gattin geschiedene Beschwerdeführer werde seinen Lebensmittelpunkt in absehbarer Zeit nicht wieder nach Deutschland zurückverlegen. Insoweit präsentierte sich die Ausgangslage für die mit dem Beschwerdeführer befassten Behörden verschieden. Für die Gefährdungsprognose war es dem BFM im dargelegten Kontext mithin erlaubt, in Bezug auf die Schweiz einen strengeren Massstab anzuwenden. Die Rüge, die Entscheide der beiden Länder stünden untereinander in einem Missverhältnis, erweist sich insoweit als unzutreffend.</w:t>
      </w:r>
    </w:p>
    <w:p>
      <w:r>
        <w:rPr>
          <w:b/>
        </w:rPr>
        <w:t>E. 6.8</w:t>
      </w:r>
    </w:p>
    <w:p>
      <w:r>
        <w:t>Nach dem Gesagten ist wegen der Schwere der Drogendelinquenz, der beschränkten Bedeutung des Zeitablaufs sowie des Fehlens einer günstigen Prognose eine schwerwiegende Gefahr im Sinne von Art. 67 Abs. 3 zweiter Satz AuG zu bejahen (zum Ganzen siehe auch BGE 139 II 121 E. 6.2 und 6.3 S. 129 ff. oder BVGE 2013/4 E. 7.2). Das gegen den Beschwerdeführer verhängte Einreiseverbot darf damit die Dauer von fünf Jahren überschreiten. Es stellt sich demzufolge nur die Frage, ob die im vorliegenden Fall angeordnete Dauer von zehn Jahren im verbleibenden Rahmen verhältnismässig und angemessen ist.</w:t>
      </w:r>
    </w:p>
    <w:p>
      <w:r>
        <w:rPr>
          <w:b/>
        </w:rPr>
        <w:t>E. 7</w:t>
      </w:r>
    </w:p>
    <w:p>
      <w:r>
        <w:t>Hinsichtlich seiner persönlichen Interessen argumentiert der Beschwerdeführer, die angefochtene Verfügung verstosse gegen Art. 8 EMRK. Dadurch werde ihm untersagt, seine zweite Ehefrau und den gemeinsamen Sohn in der Schweiz zu besuchen. Ebenso sei es ihm verwehrt, sich mit seiner Tochter aus erster Ehe in Deutschland zu treffen.</w:t>
      </w:r>
    </w:p>
    <w:p>
      <w:r>
        <w:rPr>
          <w:b/>
        </w:rPr>
        <w:t>E. 7.1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Ein solches Aufenthaltsrecht besass der Beschwerdeführer für die Schweiz, anders als in Deutschland, nie. Wohl hat er am 23. August 2012 im Kosovo inzwischen eine hierzulande niederlassungsberechtigte Landsfrau geheiratet, die kantonale Behörde wies ein entsprechendes Gesuch um Familiennachzug jedoch aus Sicherheitsgründen ab (vgl. Sachverhalt Bst. D). Die Wohnsitznahme hierzulande wie auch die Pflege regelmässiger persönlicher Kontakte zur jetzigen Ehegattin und dem gemeinsamen Kind scheitern damit bereits am fehlenden Anwesenheitsrecht (zum Ganzen vgl. BVGE 2013/4 E. 7.4.1 m.H.). Somit stellt sich nurmehr die Frage, ob die über die Verweigerung des Aufenthaltsrechts hinausgehende, durch das Einreiseverbot bewirkte Erschwernis vor Art. 8 EMRK bzw. Art. 13 Abs. 1 BV standhält.</w:t>
      </w:r>
    </w:p>
    <w:p>
      <w:r>
        <w:rPr>
          <w:b/>
        </w:rPr>
        <w:t>E. 7.2</w:t>
      </w:r>
    </w:p>
    <w:p>
      <w:r>
        <w:t>Wie bereits der angefochtenen Verfügung und der Vernehmlassung entnommen werden kann, bestehen die Wirkungen des Einreiseverbots sodann nicht darin, dem Beschwerdeführer während der Geltungsdauer der Massnahme Besuchsaufenthalte bei den nächsten Angehörigen in der Schweiz schlichtweg zu untersagen. Er hat vielmehr die Möglichkeit, aus humanitären oder anderen wichtigen Gründen mittels Gesuch die zeitweilige Suspension der angeordneten Fernhaltemassnahme zu beantragen (Art. 67 Abs. 5 AuG). Die Suspension wird aber praxisgemäss nur für eine kurze und klar begrenzte Zeit gewährt (vgl. BVGE 2013/4 E. 7.4.3 m.H.). In diesem Umfang und Rahmen kann den geltend gemachten privaten Interessen Rechnung getragen werden. Weiterhin erlaubt ist dem Beschwerdeführer ebenfalls der Besuch seiner Tochter in Deutschland. Gemäss Bayerischem Verwaltungsgericht erhält er hierfür bei einem bestimmten Anlass auf Antrag hin zweimal jährlich eine "Betretenserlaubnis" für jeweils maximal eine Woche (vgl. Ziff. 4 des mehrfach zitierten Beschlusses vom 23. September 2010). Daneben ist es der aus demselben Kulturkreis stammenden zweiten Ehefrau und dem Sohn zuzumuten, den Beschwerdeführer im Heimatland zu besuchen und den Kontakt auf andere Weise aufrecht zu erhalten (Briefverkehr, Videotelefonie, Telefonate, etc.). Hinzufügen wäre, dass sich beide Ehegatten bewusst sein mussten, dass sie ihre Beziehung bzw. das Familienleben unter den konkreten Begebenheiten (Drogenhandel des Partners) in absehbarer Zukunft nicht würden in der Schweiz leben können (zur sog. "Bleiberechtsperspektive" vgl. z.B. Urteil des Bundesgerichts 2C_249/2012 vom 7. Dezember 2012 E. 3.7 m.H.). Weil ein Einreiseverbot nicht mittels Suspensionen ausgehöhlt werden darf, kann ein Familienleben ungeachtet dessen nur in erheblich eingeschränktem Rahmen stattfinden. Die mit dem Einreiseverbot einhergehenden Einschränkungen hat der Beschwerdeführer jedoch hinzunehmen, zumal sie zur Verhütung von Straftaten und zum Schutz der öffentlichen Sicherheit erforderlich sind (vgl. Art. 8 Abs. 2 EMRK).</w:t>
      </w:r>
    </w:p>
    <w:p>
      <w:r>
        <w:rPr>
          <w:b/>
        </w:rPr>
        <w:t>E. 7.3</w:t>
      </w:r>
    </w:p>
    <w:p>
      <w:r>
        <w:t>Dass die jetzige Gattin und der bald einjährige gemeinsame Sohn in der Schweiz leben und die familiären Beziehungen offenbar intakt sind, stellt die Angemessenheit des zehnjährigen Einreiseverbots dennoch in Frage. Insbesondere ist gemäss Art. 3 Abs. 1 des Übereinkommens vom 20. November 1989 über die Rechte des Kindes (SR 0.107) das Wohl des Kindes vorrangig zu berücksichtigen; dies bedeutet auch, dass das Kind ein Recht auf Kontakt zu seinen Eltern hat und für deren Fehlverhalten nicht die Konsequenzen tragen soll (vgl. BVGE 2013/4 E. 7.4.4 m.H.). Ebenfalls zu beachten sind am Rande die mit einem deutschen Strafregisterauszug vom 21. Juni 2013 sowie einer Bestätigung aus dem Kosovo vom 5. Dezember 2013 dokumentierte Straflosigkeit (in Freiheit befindet sich der Betroffene allerdings erst seit knapp drei Jahren), vor allem aber der Umstand, dass der Beschwerdeführer wegen des deutschen Einreiseverbots faktisch seit dem Sommer 2011 auch von der Schweiz ferngehalten wird.</w:t>
      </w:r>
    </w:p>
    <w:p>
      <w:r>
        <w:rPr>
          <w:b/>
        </w:rPr>
        <w:t>E. 7.4</w:t>
      </w:r>
    </w:p>
    <w:p>
      <w:r>
        <w:t>Im Sinne einer ausgewogenen Würdigung des öffentlichen Interesses am Schutz der Allgemeinheit vor möglichen weiteren Straftaten einerseits und des privaten Interesses des Beschwerdeführers und seiner Familie andererseits, ist der jungen Familie eine zeitliche Perspektive zu gewähren. Besagte Perspektive setzt allerdings zwingend ein Wohlverhalten voraus, welches der Beschwerdeführer sowohl in seinem Heimatland als auch bei allfälligen Besuchen in der Schweiz und in Deutschland unter Beweis zu stellen hat.</w:t>
      </w:r>
    </w:p>
    <w:p>
      <w:r>
        <w:rPr>
          <w:b/>
        </w:rPr>
        <w:t>E. 7.5</w:t>
      </w:r>
    </w:p>
    <w:p>
      <w:r>
        <w:t>Eine wertende Gewichtung der sich entgegenstehenden Interessen führt das Bundesverwaltungsgericht zum Schluss, dass das Einreiseverbot dem Grundsatze nach zu bestätigen ist, mit der angeordneten Dauer von zehn Jahren jedoch unangemessen lang erscheint. In Würdigung der gesamten Umstände ist davon auszugehen, dass dem öffentlichen Interesse an der Fernhaltung des Beschwerdeführers mit einem auf acht Jahre befristeten Einreiseverbot hinreichend Rechnung getragen wird.</w:t>
      </w:r>
    </w:p>
    <w:p>
      <w:r>
        <w:rPr>
          <w:b/>
        </w:rPr>
        <w:t>E. 8</w:t>
      </w:r>
    </w:p>
    <w:p>
      <w:r>
        <w:t>Die Vorinstanz hat in der angefochtenen Verfügung ferner die Ausschreibung des Einreiseverbots im SIS angeordnet. 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(nunmehr beschränkt auf acht Jahre) sind demnach erfüllt.</w:t>
      </w:r>
    </w:p>
    <w:p>
      <w:r>
        <w:rPr>
          <w:b/>
        </w:rPr>
        <w:t>E. 9</w:t>
      </w:r>
    </w:p>
    <w:p>
      <w:r>
        <w:t>Aus diesen Erwägungen folgt, dass das auf zehn Jahre bemessene Einreiseverbot Bundesrecht verletzt (vgl. Art. 49 VwVG). Die Beschwerde ist daher teilweise gutzuheissen und das gegen den Beschwerdeführer verhängte Einreiseverbot auf acht Jahre, bis zum 24. Juli 2021, zu befristen.</w:t>
      </w:r>
    </w:p>
    <w:p>
      <w:r>
        <w:rPr>
          <w:b/>
        </w:rPr>
        <w:t>E. 10</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