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C-5036/2008 vom 22. Juni 2010</w:t>
      </w:r>
    </w:p>
    <w:p>
      <w:r>
        <w:t>Bundesverwaltungsgericht, 2010-06-22, FR</w:t>
      </w:r>
    </w:p>
    <w:p>
      <w:r>
        <w:rPr>
          <w:b/>
        </w:rPr>
        <w:t xml:space="preserve">Quelle: </w:t>
      </w:r>
      <w:r>
        <w:t>https://mcp.opencaselaw.ch/entscheid/bvger_C-5036_2008</w:t>
      </w:r>
    </w:p>
    <w:p>
      <w:r>
        <w:t>FR: TAF C-5036/2008 du 22 juin 2010</w:t>
      </w:r>
    </w:p>
    <w:p>
      <w:r>
        <w:t>IT: TAF C-5036/2008 del 22 giugno 2010</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En l'espèce, le recourant a déposé sa demande de prestations de l'assurance-invalidité le 4 janvier 2007 et la décision litigieuse la concernant a été prononcée le 10 juillet 2008. Les dispositions de la 5ème révision de la LAI et de la LPGA sont donc applicables et les dispositions citées ci-après sont, sauf précision contraire, celles en vigueur à compter du 1er janvier 2008. Le droit à la rente s'étendant jusqu'au 31 décembre 2007 est examiné à la lumière des anciennes dispositions.</w:t>
      </w:r>
    </w:p>
    <w:p>
      <w:r>
        <w:rPr>
          <w:b/>
        </w:rPr>
        <w:t>E. 5</w:t>
      </w:r>
    </w:p>
    <w:p>
      <w:r>
        <w:t>Le recourant a présenté sa demande de rente le 4 janvier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de céans peut se limiter à examiner si le recourant avait droit à une rente le 4 janvier 2006 (12 mois avant le dépôt de la demande) ou si le droit à une rente était né entre cette date et le 10 juillet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 invalidité suisse: a) être invalide au sens de la LPGA/LAI et b)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(FF 2005 p. 4291; art. 45 du règlement 1408/71). En l'occurrence, le recourant remplit la condition liée à la durée minimale de cotisations. Il reste dès lors à examiner si l'intéressé pouvait être qualifié d'invalide au sens de la LAI.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7.2</w:t>
      </w:r>
    </w:p>
    <w:p>
      <w:r>
        <w:t>Aux termes de l'art. 28 al. 1 LAI (art. 28 al. 2 LAI dès le 1er janvier 2008),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art. 29 al. 4 LAI à partir du 1er janvier 2008).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1. sa capacité de gain ou sa capacité d'accomplir ses travaux habituels ne peut pas être rétablie, maintenue ou améliorée par des mesures de réadaptation raisonnablement exigibles (art. 28 al. 1 let. a LAI); 2. il a présenté une incapacité de travail (art. 6 LPGA) d'au moins 40% en moyenne durant une année sans interruption notable (art. 28 al. 1 let. b LAI); 3. au terme de cette année il est invalide (art. 8 LPGA) à 40% au moins (art. 28 al. 1 let. c LAI).</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8.3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w:t>
      </w:r>
    </w:p>
    <w:p>
      <w:r>
        <w:t>Depuis la cessation du travail, survenue le 9 avril 1999, A._______ n'a plus repris d'activité lucrative, il convient dès lors de se référer, à l'instar de l'autorité inférieure, à l'appréciation des médecins pour déterminer l'éventuelle invalidité du recourant. Il ressort des pièces médicales versées au dossier de la cause pendant l'instruction de la demande que le diagnostic suivant a été posé en relation avec la capacité de travail du recourant: CMD avec diminution de la FEVG, FA chronique, artériopathie oblitérante de la jambe droite (grade IV) présentant une sténose des artères iliaque et femoro-poplitée, un status post Stent de l'artère iliaque commune et externe et profondoplastie en novembre 2000, gonalgie bilatérale et douleurs à l'épaule gauche d'origine inconnue. En ce qui concerne la période antérieure au 1er janvier 2008, l'art. 29 al. 1 let. a LAI, dans sa teneur en vigueur jusqu'au 31 décembre 2007, est dès lors inapplicable, eu égard au fait qu'il ne s'agit pas là d'un état de santé stabilisé. Seul peut donc entrer en considération pour cette période l'art 29 al. 1 let. b LAI, dans sa teneur d'avant le 1er janvier 2008, qui prévoyait une période d'attente d'une année à partir du moment où l'assuré a présenté une incapacité de travail de 40% sans interruption notable.</w:t>
      </w:r>
    </w:p>
    <w:p>
      <w:r>
        <w:rPr>
          <w:b/>
        </w:rPr>
        <w:t>E. 10</w:t>
      </w:r>
    </w:p>
    <w:p>
      <w:r>
        <w:t>Dans la décision entreprise et sa réponse au recours, l'autorité inférieure a estimé que A._______ ne présentait pas une incapacité de travail suffisante pour ouvrir le droit à une rente, dans la mesure où l'incapacité de gain qui en résultait ne dépassait pas 40%. Le recourant a en substance avancé qu'il ne pouvait plus exercer aucune activité lucrative, quelle qu'elle soit, et avait été reconnu pleinement invalide par la sécurité sociale espagnole. A ce dernier égard, le Tribunal de céans rappelle, d'une part, que l'octroi d'une rente étrangère d'invalidité ne préjuge pas l'appréciation de l'invalidité selon la loi suisse et, d'autre part, que le degré d'invalidité d'un assuré qui prétend une rente de l'assurance-invalidité suisse est déterminé exclusivement d'après le droit suisse (supra consid. 3.3).</w:t>
      </w:r>
    </w:p>
    <w:p>
      <w:r>
        <w:rPr>
          <w:b/>
        </w:rPr>
        <w:t>E. 10.1</w:t>
      </w:r>
    </w:p>
    <w:p>
      <w:r>
        <w:t>En date du 12 mars 2007, le Dr C._______ de l'INSS a établi un rapport E 213 (pce OAIE 21) duquel il ressort que A._______ souffrait principalement d'une CMD avec léger dysfonctionnement du ventricule gauche, de FA chronique et d'ischémie chronique sur artériopathie périphérique oblitérante. Ce diagnostic avait déjà été posé et est confirmé par les rapports de sortie établis par l'Hôpital Canalejo au printemps de l'année 2005 (pces OAIE 19 et 20). L'examen effectué par le Dr C._______ a en outre mis en évidence une épaule gauche douloureuse avec impotence fonctionnelle occasionnelle, des gonalgies bilatérales et la capacité d'effectuer une marche de 4km quotidiennement. Le Dr C._______ a rapporté des limitations fonctionnelles en relation avec un effort physique qui devait rester modéré et avec une absence de risques traumatiques en raison de la prise d'anticoagulant indiquée par la condition cardiaque. Selon le médecin de l'INSS, A._______ pourrait exercer une activité lucrative légère qui permette des positions variées, sans exposition au chaud ni au froid, ni nécessité qu'il soulève, élève ou transporte fréquemment des objets, ni qu'impose l'utilisation de rampes, d'échelles ou d'escaliers. En conclusion, le Dr C._______ a évalué la capacité de travail de l'assuré dans son activité habituelle nulle et celle dans une activité adaptée, comme réceptionniste ou surveillant de musée par exemple, entière. Dans sa prise de position médicale du 2 avril 2008 (pce OAIE 24) fondée sur le dossier, la Drsse D._______ du Service médical de l'OAIE a retenu sensiblement le même diagnostic que celui établi par le Dr C._______ et a également rejoint l'opinion de ce dernier quant aux limitations fonctionnelles que présentait A._______. Pour la praticienne de l'OAIE, la capacité de travail de l'assuré en tant que maçon s'élevait à 30% dès avril 1999, mais il conservait une capacité de travail entière dans des activités adaptées à son état de santé et respectant ses limitations fonctionnelles. Elle observe que l'insuffisance cardiaque est causée par une cardiopathie dilatative, la FEVG du ventricule gauche est seulement légèrement diminuée (53%), la coronarographie, effectuée pendant l'hospitalisation du 31 mai au 2 juin 2005, ne montre pas de rétrécissement significatif et le test à l'effort (9 METs) est négatif. Du point de vue ostéo-articulaire, bien que le recourant se plaigne de douleurs aux épaules et aux genoux, les mouvements sont décrits comme normaux et la marche est possible sur 4 km, nonobstant l'intervention pour artériopathie à la jambe droite.</w:t>
      </w:r>
    </w:p>
    <w:p>
      <w:r>
        <w:rPr>
          <w:b/>
        </w:rPr>
        <w:t>E. 10.2</w:t>
      </w:r>
    </w:p>
    <w:p>
      <w:r>
        <w:t>Dans son mémoire de recours et son écriture produite en procédure d'audition devant l'OAIE, le recourant a soutenu qu'en raison de son état de santé, il ne pouvait travailler en aucune façon. Il a de plus relevé qu'en raison des atteintes à la santé qu'il subissait, il lui serait impossible de trouver une activité de substitution adaptée.</w:t>
      </w:r>
    </w:p>
    <w:p>
      <w:r>
        <w:rPr>
          <w:b/>
        </w:rPr>
        <w:t>E. 10.3</w:t>
      </w:r>
    </w:p>
    <w:p>
      <w:r>
        <w:t>Le Tribunal de céans ne peut que constater, sur la base de l'appréciation unanime des médecins de l'INSS et de l'OAIE, que A._______ présente une incapacité d'au moins 70% dans sa profession habituelle de maçon depuis le mois d'avril 1999, date d'une première hospitalisation en raison de ses atteintes cardiovasculaires. En effet, conformément à l'appréciation de la Drsse D._______, on ne peut exiger de l'assuré qu'il exerce cette activité dans une plus large mesure. Toutefois, l'autorité de céans ne voit pas en quoi A._______ serait empêché d'accomplir à plein temps une activité adaptée à sa condition, comme celles proposées par le médecin du Service médical de l'OAIE et qui répondent aux indications du médecin de l'INSS qui a établi le rapport E 213. En effet, les atteintes dont souffre le recourant n'occasionnent pas de limitations fonctionnelles objectivables en relation avec les tâches qu'implique le travail dans des activités légères à moyennement lourdes qui demeurent accessibles sans aucune formation particulière.</w:t>
      </w:r>
    </w:p>
    <w:p>
      <w:r>
        <w:rPr>
          <w:b/>
        </w:rPr>
        <w:t>E. 11</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Le revenu de la personne valide se détermine en établissant au degré de la vraisemblance prépondérante ce qu'elle aurait effectivement réalisé au moment déterminant si elle était en bonne santé (ATF 129 V 224 consid. 4.3.1). A ce titre, il convient en général de se référer au dernier salaire que l'assuré a obtenu avant l'atteinte à la santé. En l'absence d'un revenu effectivement réalisé après la survenance de l'atteinte à la santé, le Tribunal fédéral admet pour le calcul de l'invalidité le recours aux données statistiques suisses telles qu'elles ressortent de l'Enquête sur la structure des salaires (ESS) publiée par l'Office fédéral de la statistique (ATF 126 V 75 consid. 3b/aa et bb). En l'espèce, le recourant ayant cessé totalement son activité depuis 1999, c'est à juste titre que l'OAIE a procédé à une évaluation de l'invalidité selon la méthode générale par une comparaison de revenus entre le salaire qu'il a pu gagner en Suisse comme maçon employé avec un revenu théorique selon les activités de substitution légères à moyennes qui sont des activités simples et répétitives. Dans ce cadre, il y a lieu de relever que tant les valeurs utilisées par l'administration que le calcul qu'elle a effectué répondent aux prescriptions légales et à la pratique dégagée de la jurisprudence du Tribunal fédéral en ce domaine. Elle s'est fondée, pour fixer le revenu sans invalidité, sur le salaire mensuel moyen d'un salarié dans la construction avec des connaissances professionnelles spécialisées (ESS, 2006, TA1, niveau de qualification 3, pour un horaire usuel dans la branche de 41.7 heures/semaine), soit Fr. 5'652.44 et, pour le revenu d'invalide, sur la moyenne des salaires pour des activités simples et répétitives dans le commerce de gros, le commerce de détail, dans les services fournis aux entreprises et autres services collectifs et personnels (ESS, 2006, TA1, niveau de qualification 4, pour un horaire usuel dans le secteur tertiaire de 41.7 heures/semaine), soit Fr. 4'690.47. Compte tenu des circonstances personnelles du recourant, une réduction du salaire d'invalide de 5% doit être considérée correcte, étant entendu que l'abaissement maximal pour raison d'âge et de handicap admis par la jurisprudence est de 25% (ATF 126 V 728 consid. 5) et que dans ce contexte, le recourant est encore relativement jeune, ne présente pas de limitations fonctionnelles en relation avec les activités de substitution envisagées et peut effectuer ces dernières à plein temps; le salaire d'invalide a donc été correctement fixé à Fr. 4'455.94. La comparaison du revenu sans invalidité de Fr. 5'652.44.-- au revenu d'invalide de Fr. 4'455.94.-- fait apparaître un préjudice économique de 21% environ. Le taux d'invalidité du recourant n'atteint donc pas les 40% nécessaires pour obtenir le droit à une rente. Dans ces circonstances, le recours doit être rejeté et la décision entreprise confirmée.</w:t>
      </w:r>
    </w:p>
    <w:p>
      <w:r>
        <w:rPr>
          <w:b/>
        </w:rPr>
        <w:t>E. 12</w:t>
      </w:r>
    </w:p>
    <w:p>
      <w:r>
        <w:t>Il est encore utile de préciser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4c, 115 V 53, 114 V 285 consid. 3, 11 V 239 consid. 2a; Ulrich Meyer-Blaser, Zum Verhältnismässigkeitsgrundsatz im staatlichen Leistungsrecht, thèse, Berne 1985, p. 131). Dans ce contexte, le Tribunal administratif fédéral souligne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fédéral I 175/04 du 28 janvier 2005 consid. 3 ; Jurisprudence et pratique administrative des autorités d'exécution de l'AVS/AI (VSI) 1999 p. 247 consid. 1, 1998 p. 296 consid. 3b).</w:t>
      </w:r>
    </w:p>
    <w:p>
      <w:r>
        <w:rPr>
          <w:b/>
        </w:rPr>
        <w:t>E. 13</w:t>
      </w:r>
    </w:p>
    <w:p>
      <w:r>
        <w:t>Les frais de procédure, fixés à Fr. 300.--, sont mis à la charge du recourant (art. 69 al. 1bis LAI et art. 63 al. 1 PA, applicable par renvoi de l'art. 37 LTAF). Ils sont compensés par l'avance de frais dont il s'est acquitté au cours de l'instruction. 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