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C-5031/2008 vom 5. März 2010</w:t>
      </w:r>
    </w:p>
    <w:p>
      <w:r>
        <w:t>Bundesverwaltungsgericht, 2010-03-05, FR</w:t>
      </w:r>
    </w:p>
    <w:p>
      <w:r>
        <w:rPr>
          <w:b/>
        </w:rPr>
        <w:t xml:space="preserve">Quelle: </w:t>
      </w:r>
      <w:r>
        <w:t>https://mcp.opencaselaw.ch/entscheid/bvger_C-5031_2008</w:t>
      </w:r>
    </w:p>
    <w:p>
      <w:r>
        <w:t>FR: TAF C-5031/2008 du 5 mars 2010</w:t>
      </w:r>
    </w:p>
    <w:p>
      <w:r>
        <w:t>IT: TAF C-5031/2008 del 5 marzo 2010</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[TF]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3.4</w:t>
      </w:r>
    </w:p>
    <w:p>
      <w:r>
        <w:t>La décision litigieuse est datée du 19 juin 2008. S'agissant du droit applicable, il convient donc encore de préciser que le 1er janvier 2008 les modifications de la LAI introduites par la novelle du 6 octobre 2006 (5e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cités). En l'espèce, la recourante a déposé une demande de prestations AI le 27 mars 2007, auprès des autorités compétentes espagnoles. Cette date est déterminante conformément à l'art. 86 in fine du Règlement (CEE) n° 1408/71 qui prescrit que la date à laquelle les demandes, les déclarations et recours ont été introduits auprès d'une autorité ou d'une juridiction du second Etat est considérée comme la date de l'introduction auprès de l'autorité, de l'institution ou de la juridiction compétente pour en connaître. Dans sa demande, elle se prévalait d'une atteinte à la santé ayant pris naissance en mai 2005. Partant, les dispositions topiques sont donc citées dans le présent arrêt dans leur teneur en vigueur jusqu'au 31 décembre 2007 (cf. arrêt du 8C-48/2009 du 28 avril 2009 consid. 4).</w:t>
      </w:r>
    </w:p>
    <w:p>
      <w:r>
        <w:rPr>
          <w:b/>
        </w:rPr>
        <w:t>E. 4</w:t>
      </w:r>
    </w:p>
    <w:p>
      <w:r>
        <w:t>Selon les normes en vigueur au moment des faits,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La recourante a versé des cotisations à l'AVS/AI pendant plus d'une année au total et remplit donc la condition de la durée minimale de cotisations. Il reste à examiner si et dans quelle mesure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TF,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5.5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TF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TF I 636/06 du 22 septembre 2006 consid. 3.2)</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7.1</w:t>
      </w:r>
    </w:p>
    <w:p>
      <w:r>
        <w:t>En l'espèce, la décision litigieuse se fonde essentiellement sur la prise de position du 5 juin 2008 du Dr. E._______ de l'OAIE qui exclut la reprise de l'ancienne activité mais qui estime que, dans une activité adaptée à ses limitations fonctionnelles, la recourante est apte à travailler à 80%. A noter que dans sa première détermination, le Dr. E._______ avait retenu que l'exercice d'une activité de substitution était exigible à plein temps. Or, les pièces médicales qui l'ont amené à modifier le taux de rendement figuraient déjà dans le dossier avant la procédure d'audition (cf pces 13 et 14 qui se retrouvent en 29 et 30). Il s'agit de documents datant de 2007 qui établissent que malgré les traitements réhabilitant (cf pces 26 à 28), la recourante souffre encore, deux ans après son opération, de douleur, de rigidité à la cheville et d'oedème résiduel. Le Dr. E._______ conclut que la position assise peut accroître l'intumescence et que des pauses régulières sont nécessaires, raisons pour lesquelles il réduit de 20% le taux d'occupation dans une activité adaptée. Le seul autre avis médical s'exprimant au sujet de la capacité de travail résiduel de la recourante est celui de la Dresse D._______ de l'INSS qui admet une capacité complète dans un travail respectant les limitations fonctionnelles. La recourante ne produit aucun document qui contredit les positions du Dr. E._______ et de la Dresse D._______ ou qui apporterait un doute quant à leur pertinence. Le tableau clinique que ces deux médecins retiennent correspond en tous points à celui qui ressort de la documentation transmis par la recourante. Le diagnostic n'est pas contesté, tous les avis corroborent. En dehors des séquelles pour lesquelles l'autorité exclut la reprise de l'activité d'agricultrice indépendante et concède une réduction de 20% dans une activité adaptée, il sied de remarquer que les pronostics sont plutôt favorables quand bien même l'assurée se déplaçait encore en 2007 avec des cannes. Le Dr B._______ évoque un bon repositionnement des fractures et les radiographies effectuées en 2007 ne mettent pas en évidence de complications particulières.</w:t>
      </w:r>
    </w:p>
    <w:p>
      <w:r>
        <w:rPr>
          <w:b/>
        </w:rPr>
        <w:t>E. 7.2</w:t>
      </w:r>
    </w:p>
    <w:p>
      <w:r>
        <w:t>Il s'en suit que la Cour de céans ne voit pas de motif de s'écarter de la décision de l'autorité inférieure. A ce sujet, il sied d'emblée de rappeler qu'en application du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références). A ce titre, le Tribunal fédéral (des assurances) a jugé admissible d'exiger d'une personne travaillant de manière indépendante qu'elle abandonne son activité et qu'il était raisonnable lors de l'évaluation de l'invalidité de prendre en compte le salaire qu'elle pourrait ainsi obtenir dans une activité dépendante (cf. arrêt du TF I 204/05 du 29 septembre 2005 consid 5.2.1).</w:t>
      </w:r>
    </w:p>
    <w:p>
      <w:r>
        <w:rPr>
          <w:b/>
        </w:rPr>
        <w:t>E. 8.1</w:t>
      </w:r>
    </w:p>
    <w:p>
      <w:r>
        <w:t>Il convient donc encore d'examiner la perte de gain que la recourante subirait dans l'exercice d'une activité exigible à 80%. Il sied de remarquer dans ce contexte que c'est à juste titre que l'autorité inférieure s'est référée dans sa première comparaison des revenus (pce 37) à une activité de substitution. En effet, compte tenu du fait que la recourante a cessé son activité d'agricultrice pour des raisons de santé les conditions qui permettraient d'exiger sa reprise font défaut en l'espèce (cf. arrêt du TF I 842/05 du 1er juin 2006 consid. 5.3). C'est pour cette même raison que l'autorité inférieure a renoncé à l'application de la méthode dite extraordinaire réservée en principe aux travailleurs indépendants (cf. ATF 128 V 29 consid. 1) et choisi la méthode ordinaire de comparaison des revenus. En effet, lorsque l'assuré a abandonné son activité d'indépendant, la comparaison des activités exercées avant et après la survenance de l'invalidité n'est plus possible (RAMA 1995 p. 107).</w:t>
      </w:r>
    </w:p>
    <w:p>
      <w:r>
        <w:rPr>
          <w:b/>
        </w:rPr>
        <w:t>E. 8.2.1</w:t>
      </w:r>
    </w:p>
    <w:p>
      <w:r>
        <w:t>Selon la méthode ordinaire, l'invalidité est évaluée en comparant le revenu que l'intéressé pourrait obtenir en exerçant une activité qu'on peut raisonnablement attendre (revenu d'invalide) sur un marché du travail équilibré avec le revenu qu'il aurait eu s'il n'était pas devenu invalide (revenu sans invalidité; jusqu'au 31 décembre 2002: art 28 al. 2 LAI; du 1er janvier au 31 décembre 2003: art. 1 al. 1 LAI en corrélation avec l'art. 16 LPGA; depuis le 1er janvier 2004: art. 28 al. 2 LAI en corrélation avec l'art. 16 LPGA). Ne sont pas déterminants les critères médico-théoriques, mais bien plutôt les répercussions de l'atteinte à la santé sur la capacité de gain (cf. par analogie, RAMA 1991 no U 130 p. 270 consid. 3b; voir aussi ATF 114 V 310 consid. 3c).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il convient de souligner que ni l'âge, ni la situation familiale ou économique, ni un arrêt prolongé de l'activité professionnelle ou même le refus d'exercer une activité médicalement exigible ne constituent des facteurs propres à influencer l'octroi d'une rente d'invalidité (arrêt du TF I 175/04 du 28 janvier 2005 consid. 3; VSI 1999 p. 247 consid. 1; Pratique VSI 1998 p. 296 consid. 3b).</w:t>
      </w:r>
    </w:p>
    <w:p>
      <w:r>
        <w:rPr>
          <w:b/>
        </w:rPr>
        <w:t>E. 8.2.2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(RCC 1991 p. 332 consid. 3b, 1989 p. 331 consid. 4a).</w:t>
      </w:r>
    </w:p>
    <w:p>
      <w:r>
        <w:rPr>
          <w:b/>
        </w:rPr>
        <w:t>E. 8.3.1</w:t>
      </w:r>
    </w:p>
    <w:p>
      <w:r>
        <w:t>En l'absence d'un revenu effectivement réalisé après la survenance de l'atteinte à la santé, la jurisprudence admet pour la détermination du salaire d'invalide,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TF I 85/05 du 5 juin 2005).</w:t>
      </w:r>
    </w:p>
    <w:p>
      <w:r>
        <w:rPr>
          <w:b/>
        </w:rPr>
        <w:t>E. 8.3.2</w:t>
      </w:r>
    </w:p>
    <w:p>
      <w:r>
        <w:t>Le revenu sans invalidité quant à lui se détermine en établissant au degré de la vraisemblance prépondérante ce que l'assuré aurait effectivement réalisé au moment déterminant s'il était en bonne santé. A ce titre il convient en général de se référer au dernier salaire que l'assuré a obtenu avant l'atteinte à la santé. Toutefois, en raison de la disparité des niveaux de rémunération et des coûts de la vie entre les Etats, on ne saurait retenir en principe le montant du dernier salaire obtenu par la recourante dans son Etat de résidence (ATF 110 V 273 consid. 4d; arrêt du TF I 383/06 du 5 avril 2007 consid. 4.4) ou qu'elle aurait pu obtenir, d'où la nécessité pour effectuer la comparaison des salaires de se référer à des données statistiques.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TF I 383/06 du 5 avril 2007 consid. 4.4).</w:t>
      </w:r>
    </w:p>
    <w:p>
      <w:r>
        <w:rPr>
          <w:b/>
        </w:rPr>
        <w:t>E. 8.3.3</w:t>
      </w:r>
    </w:p>
    <w:p>
      <w:r>
        <w:t>Dans le cas particulier, la décision litigieuse se fonde, en application de la jurisprudence précitée, sur les données résultant de l'ESS 2006 et fixe le revenu sans invalidité de la recourante à Fr. 3'728.-- ce qui équivaut, à défaut de données statistiques EES dans le secteur agricole, au salaire auquel peuvent prétendre les femmes au bénéfice de connaissances professionnelles spécialisées (niveau de qualification 3) dans l'horticulture. Or, le TF a récemment statué que le revenu d'employés dans l'horticulture retenu dans l'ESS ne permet pas de déterminer le salaire de personnes exerçant la profession d'agriculteur à titre indépendant de façon suffisamment fiable (arrêt du TF 9C_335/2007 du 8 mai 2008 consid. 3.3.3); il convient dans ces cas de se référer aux rapports agricoles publiés par l'Office fédéral de l'agriculture qui livrent des références plus précises en la matière. Le salaire de personne valide doit donc être calculé in casu sur la base de ces données. Les chiffres déterminants pour 2006 (soit une année après le délai de carence qui court dès l'atteinte à la santé subie en 2005) ressortent du rapport agricole 2007. Le revenu (brut) moyen obtenu par 1.24 unité de main d'oeuvre familiale se montait à Fr. 52'915 en 2006 (rapport, p. 51). Comme le revenu agricole rémunère, d'une part, le travail de 1.24 unités de main d'oeuvre familiale en moyenne et, d'autre part, les fonds propres investis dans l'exploitation alors que seul le revenu du travail est relevant en l'espèce, il convient de déduire "les intérêts sur le capital propre" d'un montant de Fr. 10'283.- (tableau 17: "Résultats d'exploitation: toutes régions confondues, p. A 16 en annexe au rapport), ce qui donne un revenu du travail pour l'ensemble de l'entreprise agricole de Fr. 42'632.-. Le revenu du travail agricole par unité de main d'oeuvre se monte ainsi à Fr. 34'380.64. Il sied également de tenir compte du fait que les ménages agricoles n'assurent pas uniquement leur entretien au moyen du revenu du travail. Ainsi, en 2006, ils ont gagné un gain accessoire de Fr. 22'239.- en moyenne. En partant du principe que les 1.24 unités de main d'oeuvre familiale ont contribué à la réalisation de ce gain accessoire (22'239/1.24 = 17'934.67), on obtient un revenu global par unité de main d'oeuvre familiale de Fr. 52'315.31par année (34'380.64 + 17'934.67) respectivement de Fr. 4'359.60 par mois, qui doit être retenu comme revenu hypothétique de valide de la recourante.</w:t>
      </w:r>
    </w:p>
    <w:p>
      <w:r>
        <w:rPr>
          <w:b/>
        </w:rPr>
        <w:t>E. 8.3.4</w:t>
      </w:r>
    </w:p>
    <w:p>
      <w:r>
        <w:t>Eu égard à la jurisprudence précédemment exposée, le revenu d'invalide doit également se fonder sur des valeurs statistiques. Il y a alors lieu de se rapporter à la valeur médiane ou valeur centrale afférente aux salaires bruts standardisés (ATF 124 V 321 consid. 3b/bb) et non à des chiffres tirés de secteurs d'activité particuliers (cf. arrêt du TF I 392/06 du 13 mars 2007 consid. 6.2). En l'espèce, et contrairement à ce que retient l'autorité, il doit donc être déterminé en fonction de ce que peuvent prétendre les femmes exerçant une activité simple et répétitive dans le secteur privé (valeur médiane ou centrale), dont un nombre suffisant est adapté aux limitations fonctionnelles de la recourante (Fr. 4'019.-, cf tableau TA 1, niveau de qualification 4). Les salaires bruts standardisés se basent sur un horaire de travail de 40 heures, soit une durée hebdomadaire inférieure à la moyenne usuelle en 2006 (41.7 heures, cf. OFS, durée normale du travail dans les entreprises selon la division économique, en heures par semaine, T. 03.02.04.19), ce salaire hypothétique de Fr. 4'019.- doit donc encore être adapté et s'élève en fait à Fr. 4'189.80, ce qui donne 3'351.80 pour un rendement à 80%.</w:t>
      </w:r>
    </w:p>
    <w:p>
      <w:r>
        <w:rPr>
          <w:b/>
        </w:rPr>
        <w:t>E. 8.3.5</w:t>
      </w:r>
    </w:p>
    <w:p>
      <w:r>
        <w:t>Comme le recours aux salaires de l'ESS ne permet pas une appréciation très fine en fonction des groupes de professions particuliers ou des régions de travail, la jurisprudence permet cependant de réduire le revenu hypothétique d'invalide, tel qu'il résulte des statistiques, afin de tenir compte du fait que les possibilités pour l'assuré de réaliser un gain qui se situe dans la moyenne sont forcément diminuées.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130 V 393 consid. 3.3, ATF 126 V 75 consid. 6, ATF 123 V 150 consid. 2 et les références). En l'espèce, l'OAIE a consenti un abattement de 20 % sur le revenu d'invalide de l'assurée pour tenir compte des circonstances personnelles et professionnelles du cas. Bien que l'autorité aurait dû préciser les facteurs retenus, on comprend qu'il s'agit essentiellement en l'espèce du fait que la recourante a dû renoncer à 54 ans à l'exercice d'une activité profession qu'elle pratiquait comme indépendante et ne peut plus qu'exercer une activité de type léger. Cette argumentation n'est pas insoutenable, il n'y a donc pas lieu de s'en écarter. Le salaire d'invalide est donc fixé à Fr 2'681.40</w:t>
      </w:r>
    </w:p>
    <w:p>
      <w:r>
        <w:rPr>
          <w:b/>
        </w:rPr>
        <w:t>E. 8.4</w:t>
      </w:r>
    </w:p>
    <w:p>
      <w:r>
        <w:t>Le calcul comparatif des revenus fait apparaître un préjudice économique de 38 % (Fr. 4'359.60-2'681.40 X 100 / 4'359.60) une fois arrondi au pour-cent inférieur (ATF 130 V 122 consid. 3.2), pour une activité exigible à 80%, ce qui est insuffisant pour ouvrir le droit à une rente.</w:t>
      </w:r>
    </w:p>
    <w:p>
      <w:r>
        <w:rPr>
          <w:b/>
        </w:rPr>
        <w:t>E. 9.1</w:t>
      </w:r>
    </w:p>
    <w:p>
      <w:r>
        <w:t>Vu l'argumentation de la recourante, il faut encore dire qu'elle ne peut rien tirer du fait qu'elle reçoit une indemnité en Espagne puisque seul le droit interne détermine les modalités de l'évaluation du taux d'invalidité (cf. consid. supra 3.3 et 3.4) qui est, selon la loi suisse, une notion juridico-économique et non médicale. En d'autres termes, seules sont couvertes les pertes économiques (atteignant au moins 40% du revenu) liées à une atteinte à la santé physique ou psychique et non la maladie en tant que telle. En Espagne la situation est toute différente. Il existe en effet quatre degrés d'invalidité permanente: a) l'incapacité permanente partielle pour la profession habituelle b) l'incapacité permanente totale pour la profession habituelle c) l'incapacité permanente absolue pour tout travail d) la grande invalidité (cf. articulos 137 del texto de la Ley general de la Seguridad Social, aporbado por el Real decreto legislativo 1/1994, de 20 de junio, consulté sur le site Internet http://www.derecho.com/l/boe/real-decreto-legislativo-1-1994-aprueba-texto-refundido-ley-general-seguridad-social/ consulté le 18 février 2010). Pour une incapacité permanente partielle d'exercer la profession habituelle, telle que reconnue à la recourante (cf. pce 22 page 2 et pce 2 page 3), une indemnité forfaitaire égale à 24 mensualités de la base de calcul de la maladie est octroyée (cf. le site du système d'information mutuelle sur la protection sociale des Etats membres de l'UE et de l'EEE http://ec.europa.eu/employment_social/missoc/2000/es_part5_fr.htm, consulté le 18 février 2010). L'incapacité permanente partielle d'exercer la profession habituelle est définie comme celle qui, sans atteindre le degré total, n'est pas inférieure à 33% dans le rendement habituel de cette profession et n'empêche pas la réalisation des tâches fondamentales de cette dernière (cf. art. 137 par. 3 de la loi espagnole précitée). La Cour de céans constate dès lors que les autorités suisses sont plus généreuses puisqu'elles reconnaissent à la recourante une incapacité totale d'exercer son ancienne activité, toutefois cela n'ouvre pas en soi le droit à des prestations (cf. supra consid. 5.3).</w:t>
      </w:r>
    </w:p>
    <w:p>
      <w:r>
        <w:rPr>
          <w:b/>
        </w:rPr>
        <w:t>E. 9.2</w:t>
      </w:r>
    </w:p>
    <w:p>
      <w:r>
        <w:t>Compte tenu du grief de la recourante qui estime avoir payé suffisamment de cotisations pour avoir droit à des prestations, il n'est pas inutile de brièvement rappeler que l'assurance-invalidité est basée sur le principe de la solidarité actuarielle. Ce fondement de solidarité, propre à toute assurance sociale, signifie que "plusieurs personnes indépendantes les unes des autres, réunies en collectivité, rassemblent des fonds dans le but commun, lorsque survient un événement précis à définir, d'aider l'un de ses membres en couvrant le dommage subi." (Gabriela Riemer-Kafka, La solidarité, toile de fond des assurances sociales, Sécurité sociale [CHSS] 2/2007, p. 59). L'AI vise à couvrir un risque défini juridiquement qui, une fois qu'il se réalise, donne droit à une prestation prévue par la loi qui peut-être fournie soit partiellement soit totalement. Le financement de cette assurance se base principalement sur la capacité économique de l'assuré (par le biais, la plupart du temps, de cotisations salariales). Le seul fait d'avoir participé au financement du risque ne suffit pas pour toucher des prestations, il faut encore que les autres conditions prévues par la loi (cf. supra consid. 5.5, l'invalidité est une notion juridico-économique) soient satisfaites, ce qui n'est pas le cas en l'espèce.</w:t>
      </w:r>
    </w:p>
    <w:p>
      <w:r>
        <w:rPr>
          <w:b/>
        </w:rPr>
        <w:t>E. 10.1</w:t>
      </w:r>
    </w:p>
    <w:p>
      <w:r>
        <w:t>La décision litigieuse a été rendue après le 1er juillet 2006, entrée en vigueur de l'art. 69 al. 2 LAI soumettant la procédure de recours en matière de contestations portant sur l'octroi ou le refus de prestations de l'AI devant le Tribunal administratif fédéral à des frais de procédure.</w:t>
      </w:r>
    </w:p>
    <w:p>
      <w:r>
        <w:rPr>
          <w:b/>
        </w:rPr>
        <w:t>E. 10.2</w:t>
      </w:r>
    </w:p>
    <w:p>
      <w:r>
        <w:t>La recourante, qui succombe, doit donc s'acquitter des frais de justice fixés, compte tenu de la charge liée à la procédure, à Fr. 400.-- (art. 63 al. 1 règlement du 21 février 2008 concernant les frais, dépens et indemnités fixés par le Tribunal administratif fédéral [FITAF, RS 173.320.2] en relation avec l'art. 69 al. 2 LAI). Ils sont compensés par l'avance de frais déjà versée de Fr. 400.--.</w:t>
      </w:r>
    </w:p>
    <w:p>
      <w:r>
        <w:rPr>
          <w:b/>
        </w:rPr>
        <w:t>E. 10.3</w:t>
      </w:r>
    </w:p>
    <w:p>
      <w:r>
        <w:t>Compte tenu de l'issu du litige, il n'est pas alloué de dépens (art. 7 al. 1 FITAF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